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1CF8" w:rsidRPr="00A67F1F" w:rsidRDefault="007A468D" w:rsidP="000C1CF8">
      <w:pPr>
        <w:spacing w:line="264" w:lineRule="auto"/>
        <w:jc w:val="center"/>
        <w:rPr>
          <w:b/>
          <w:caps/>
          <w:sz w:val="28"/>
          <w:szCs w:val="28"/>
          <w:lang w:val="en-US"/>
        </w:rPr>
      </w:pPr>
      <w:r w:rsidRPr="00A67F1F">
        <w:rPr>
          <w:b/>
          <w:caps/>
          <w:sz w:val="28"/>
          <w:szCs w:val="28"/>
          <w:lang w:val="en-US"/>
        </w:rPr>
        <w:t>Title</w:t>
      </w:r>
    </w:p>
    <w:p w:rsidR="000C1CF8" w:rsidRPr="00A67F1F" w:rsidRDefault="000C1CF8" w:rsidP="000C1CF8">
      <w:pPr>
        <w:spacing w:line="264" w:lineRule="auto"/>
        <w:rPr>
          <w:b/>
          <w:sz w:val="28"/>
          <w:szCs w:val="28"/>
          <w:lang w:val="en-US"/>
        </w:rPr>
      </w:pPr>
    </w:p>
    <w:p w:rsidR="000C1CF8" w:rsidRPr="00A67F1F" w:rsidRDefault="007A468D" w:rsidP="000C1CF8">
      <w:pPr>
        <w:spacing w:line="264" w:lineRule="auto"/>
        <w:jc w:val="center"/>
        <w:rPr>
          <w:b/>
          <w:i/>
          <w:sz w:val="28"/>
          <w:szCs w:val="28"/>
          <w:lang w:val="en-US"/>
        </w:rPr>
      </w:pPr>
      <w:r w:rsidRPr="00A67F1F">
        <w:rPr>
          <w:b/>
          <w:i/>
          <w:sz w:val="28"/>
          <w:szCs w:val="28"/>
          <w:lang w:val="en-US"/>
        </w:rPr>
        <w:t>Firstname Lastname</w:t>
      </w:r>
      <w:r w:rsidR="000C1CF8" w:rsidRPr="00A67F1F">
        <w:rPr>
          <w:b/>
          <w:i/>
          <w:sz w:val="28"/>
          <w:szCs w:val="28"/>
          <w:vertAlign w:val="superscript"/>
          <w:lang w:val="en-US"/>
        </w:rPr>
        <w:t xml:space="preserve">1, </w:t>
      </w:r>
      <w:r w:rsidR="000C1CF8" w:rsidRPr="00A67F1F">
        <w:rPr>
          <w:b/>
          <w:i/>
          <w:sz w:val="28"/>
          <w:szCs w:val="28"/>
          <w:vertAlign w:val="superscript"/>
          <w:lang w:val="en-US"/>
        </w:rPr>
        <w:sym w:font="Wingdings" w:char="F02A"/>
      </w:r>
      <w:r w:rsidR="000C1CF8" w:rsidRPr="00A67F1F">
        <w:rPr>
          <w:b/>
          <w:i/>
          <w:sz w:val="28"/>
          <w:szCs w:val="28"/>
          <w:lang w:val="en-US"/>
        </w:rPr>
        <w:t xml:space="preserve">, </w:t>
      </w:r>
      <w:r w:rsidRPr="00A67F1F">
        <w:rPr>
          <w:b/>
          <w:i/>
          <w:sz w:val="28"/>
          <w:szCs w:val="28"/>
          <w:lang w:val="en-US"/>
        </w:rPr>
        <w:t>Firstname Lastname</w:t>
      </w:r>
      <w:r w:rsidR="000C1CF8" w:rsidRPr="00A67F1F">
        <w:rPr>
          <w:b/>
          <w:i/>
          <w:sz w:val="28"/>
          <w:szCs w:val="28"/>
          <w:vertAlign w:val="superscript"/>
          <w:lang w:val="en-US"/>
        </w:rPr>
        <w:t>2</w:t>
      </w:r>
      <w:r w:rsidR="000C1CF8" w:rsidRPr="00A67F1F">
        <w:rPr>
          <w:b/>
          <w:i/>
          <w:sz w:val="28"/>
          <w:szCs w:val="28"/>
          <w:lang w:val="en-US"/>
        </w:rPr>
        <w:t xml:space="preserve">, </w:t>
      </w:r>
      <w:r w:rsidRPr="00A67F1F">
        <w:rPr>
          <w:b/>
          <w:i/>
          <w:sz w:val="28"/>
          <w:szCs w:val="28"/>
          <w:lang w:val="en-US"/>
        </w:rPr>
        <w:t>Firstname Lastname</w:t>
      </w:r>
      <w:r w:rsidR="000C1CF8" w:rsidRPr="00A67F1F">
        <w:rPr>
          <w:b/>
          <w:i/>
          <w:sz w:val="28"/>
          <w:szCs w:val="28"/>
          <w:vertAlign w:val="superscript"/>
          <w:lang w:val="en-US"/>
        </w:rPr>
        <w:t>3</w:t>
      </w:r>
    </w:p>
    <w:p w:rsidR="000C1CF8" w:rsidRPr="00A67F1F" w:rsidRDefault="000C1CF8" w:rsidP="000C1CF8">
      <w:pPr>
        <w:spacing w:line="264" w:lineRule="auto"/>
        <w:rPr>
          <w:sz w:val="21"/>
          <w:szCs w:val="21"/>
          <w:lang w:val="en-US"/>
        </w:rPr>
      </w:pPr>
    </w:p>
    <w:p w:rsidR="000C1CF8" w:rsidRPr="00A67F1F" w:rsidRDefault="000C1CF8" w:rsidP="007A468D">
      <w:pPr>
        <w:spacing w:line="264" w:lineRule="auto"/>
        <w:rPr>
          <w:sz w:val="17"/>
          <w:szCs w:val="17"/>
          <w:lang w:val="en-US"/>
        </w:rPr>
      </w:pPr>
      <w:r w:rsidRPr="00A67F1F">
        <w:rPr>
          <w:sz w:val="17"/>
          <w:szCs w:val="17"/>
          <w:vertAlign w:val="superscript"/>
          <w:lang w:val="en-US"/>
        </w:rPr>
        <w:t>1</w:t>
      </w:r>
      <w:r w:rsidRPr="00A67F1F">
        <w:rPr>
          <w:sz w:val="17"/>
          <w:szCs w:val="17"/>
          <w:lang w:val="en-US"/>
        </w:rPr>
        <w:t xml:space="preserve"> </w:t>
      </w:r>
      <w:r w:rsidR="007A468D" w:rsidRPr="00A67F1F">
        <w:rPr>
          <w:sz w:val="17"/>
          <w:szCs w:val="17"/>
          <w:lang w:val="en-US"/>
        </w:rPr>
        <w:t>Affiliation 1 (provide the full postal address of each affiliation, including the country name)</w:t>
      </w:r>
    </w:p>
    <w:p w:rsidR="000C1CF8" w:rsidRPr="00A67F1F" w:rsidRDefault="000C1CF8" w:rsidP="007A468D">
      <w:pPr>
        <w:spacing w:line="264" w:lineRule="auto"/>
        <w:jc w:val="both"/>
        <w:rPr>
          <w:sz w:val="17"/>
          <w:szCs w:val="17"/>
          <w:lang w:val="en-US"/>
        </w:rPr>
      </w:pPr>
      <w:r w:rsidRPr="00A67F1F">
        <w:rPr>
          <w:sz w:val="17"/>
          <w:szCs w:val="17"/>
          <w:vertAlign w:val="superscript"/>
          <w:lang w:val="en-US"/>
        </w:rPr>
        <w:t>2</w:t>
      </w:r>
      <w:r w:rsidRPr="00A67F1F">
        <w:rPr>
          <w:sz w:val="17"/>
          <w:szCs w:val="17"/>
          <w:lang w:val="en-US"/>
        </w:rPr>
        <w:t xml:space="preserve"> </w:t>
      </w:r>
      <w:r w:rsidR="007A468D" w:rsidRPr="00A67F1F">
        <w:rPr>
          <w:sz w:val="17"/>
          <w:szCs w:val="17"/>
          <w:lang w:val="en-US"/>
        </w:rPr>
        <w:t>Affiliation 2 (provide the full postal address of each affiliation, including the country name)</w:t>
      </w:r>
    </w:p>
    <w:p w:rsidR="000C1CF8" w:rsidRPr="00A67F1F" w:rsidRDefault="000C1CF8" w:rsidP="007A468D">
      <w:pPr>
        <w:spacing w:line="264" w:lineRule="auto"/>
        <w:jc w:val="both"/>
        <w:rPr>
          <w:sz w:val="17"/>
          <w:szCs w:val="17"/>
          <w:lang w:val="en-US"/>
        </w:rPr>
      </w:pPr>
      <w:r w:rsidRPr="00A67F1F">
        <w:rPr>
          <w:sz w:val="17"/>
          <w:szCs w:val="17"/>
          <w:vertAlign w:val="superscript"/>
          <w:lang w:val="en-US"/>
        </w:rPr>
        <w:t>3</w:t>
      </w:r>
      <w:r w:rsidRPr="00A67F1F">
        <w:rPr>
          <w:sz w:val="17"/>
          <w:szCs w:val="17"/>
          <w:lang w:val="en-US"/>
        </w:rPr>
        <w:t xml:space="preserve"> </w:t>
      </w:r>
      <w:r w:rsidR="007A468D" w:rsidRPr="00A67F1F">
        <w:rPr>
          <w:sz w:val="17"/>
          <w:szCs w:val="17"/>
          <w:lang w:val="en-US"/>
        </w:rPr>
        <w:t>Affiliation 3 (provide the full postal address of each affiliation, including the country name)</w:t>
      </w:r>
    </w:p>
    <w:p w:rsidR="007A468D" w:rsidRPr="00A67F1F" w:rsidRDefault="007A468D" w:rsidP="007A468D">
      <w:pPr>
        <w:spacing w:line="264" w:lineRule="auto"/>
        <w:jc w:val="both"/>
        <w:rPr>
          <w:i/>
          <w:sz w:val="17"/>
          <w:szCs w:val="17"/>
          <w:lang w:val="en-US"/>
        </w:rPr>
      </w:pPr>
      <w:r w:rsidRPr="00A67F1F">
        <w:rPr>
          <w:i/>
          <w:sz w:val="17"/>
          <w:szCs w:val="17"/>
          <w:vertAlign w:val="superscript"/>
          <w:lang w:val="en-US"/>
        </w:rPr>
        <w:sym w:font="Wingdings" w:char="F02A"/>
      </w:r>
      <w:r w:rsidRPr="00A67F1F">
        <w:rPr>
          <w:i/>
          <w:sz w:val="17"/>
          <w:szCs w:val="17"/>
          <w:lang w:val="en-US"/>
        </w:rPr>
        <w:t xml:space="preserve"> ivan.a.melnyk@example.com</w:t>
      </w:r>
    </w:p>
    <w:p w:rsidR="000C1CF8" w:rsidRPr="00A67F1F" w:rsidRDefault="000C1CF8" w:rsidP="000C1CF8">
      <w:pPr>
        <w:spacing w:line="264" w:lineRule="auto"/>
        <w:jc w:val="both"/>
        <w:rPr>
          <w:sz w:val="17"/>
          <w:szCs w:val="17"/>
          <w:lang w:val="en-US"/>
        </w:rPr>
      </w:pPr>
      <w:r w:rsidRPr="00A67F1F">
        <w:rPr>
          <w:sz w:val="17"/>
          <w:szCs w:val="17"/>
          <w:lang w:val="en-US"/>
        </w:rPr>
        <w:sym w:font="Symbol" w:char="F0D3"/>
      </w:r>
      <w:r w:rsidRPr="00A67F1F">
        <w:rPr>
          <w:sz w:val="17"/>
          <w:szCs w:val="17"/>
          <w:lang w:val="en-US"/>
        </w:rPr>
        <w:t xml:space="preserve"> </w:t>
      </w:r>
      <w:r w:rsidR="007A468D" w:rsidRPr="00A67F1F">
        <w:rPr>
          <w:sz w:val="17"/>
          <w:szCs w:val="17"/>
          <w:lang w:val="en-US"/>
        </w:rPr>
        <w:t>Lastname</w:t>
      </w:r>
      <w:r w:rsidRPr="00A67F1F">
        <w:rPr>
          <w:sz w:val="17"/>
          <w:szCs w:val="17"/>
          <w:lang w:val="en-US"/>
        </w:rPr>
        <w:t xml:space="preserve"> </w:t>
      </w:r>
      <w:r w:rsidR="007A468D" w:rsidRPr="00A67F1F">
        <w:rPr>
          <w:sz w:val="17"/>
          <w:szCs w:val="17"/>
          <w:lang w:val="en-US"/>
        </w:rPr>
        <w:t>F</w:t>
      </w:r>
      <w:r w:rsidRPr="00A67F1F">
        <w:rPr>
          <w:sz w:val="17"/>
          <w:szCs w:val="17"/>
          <w:lang w:val="en-US"/>
        </w:rPr>
        <w:t xml:space="preserve">., </w:t>
      </w:r>
      <w:r w:rsidR="007A468D" w:rsidRPr="00A67F1F">
        <w:rPr>
          <w:sz w:val="17"/>
          <w:szCs w:val="17"/>
          <w:lang w:val="en-US"/>
        </w:rPr>
        <w:t>Lastname F</w:t>
      </w:r>
      <w:r w:rsidRPr="00A67F1F">
        <w:rPr>
          <w:sz w:val="17"/>
          <w:szCs w:val="17"/>
          <w:lang w:val="en-US"/>
        </w:rPr>
        <w:t xml:space="preserve">., </w:t>
      </w:r>
      <w:r w:rsidR="007A468D" w:rsidRPr="00A67F1F">
        <w:rPr>
          <w:sz w:val="17"/>
          <w:szCs w:val="17"/>
          <w:lang w:val="en-US"/>
        </w:rPr>
        <w:t>Lastname F</w:t>
      </w:r>
      <w:r w:rsidRPr="00A67F1F">
        <w:rPr>
          <w:sz w:val="17"/>
          <w:szCs w:val="17"/>
          <w:lang w:val="en-US"/>
        </w:rPr>
        <w:t>., 2023</w:t>
      </w:r>
    </w:p>
    <w:p w:rsidR="000C1CF8" w:rsidRPr="00A67F1F" w:rsidRDefault="000C1CF8" w:rsidP="000C1CF8">
      <w:pPr>
        <w:spacing w:line="264" w:lineRule="auto"/>
        <w:rPr>
          <w:sz w:val="21"/>
          <w:szCs w:val="21"/>
          <w:lang w:val="en-US"/>
        </w:rPr>
      </w:pPr>
    </w:p>
    <w:p w:rsidR="000C1CF8" w:rsidRPr="00A67F1F" w:rsidRDefault="000C1CF8" w:rsidP="000C1CF8">
      <w:pPr>
        <w:spacing w:line="264" w:lineRule="auto"/>
        <w:rPr>
          <w:sz w:val="21"/>
          <w:szCs w:val="21"/>
          <w:lang w:val="en-US"/>
        </w:rPr>
      </w:pPr>
      <w:r w:rsidRPr="00A67F1F">
        <w:rPr>
          <w:sz w:val="21"/>
          <w:szCs w:val="21"/>
          <w:lang w:val="en-US"/>
        </w:rPr>
        <w:t>https://</w:t>
      </w:r>
    </w:p>
    <w:p w:rsidR="000C1CF8" w:rsidRPr="00A67F1F" w:rsidRDefault="000C1CF8" w:rsidP="000C1CF8">
      <w:pPr>
        <w:spacing w:line="264" w:lineRule="auto"/>
        <w:rPr>
          <w:sz w:val="21"/>
          <w:szCs w:val="21"/>
          <w:lang w:val="en-US"/>
        </w:rPr>
      </w:pPr>
    </w:p>
    <w:p w:rsidR="000C1CF8" w:rsidRPr="00A67F1F" w:rsidRDefault="000C1CF8" w:rsidP="000C1CF8">
      <w:pPr>
        <w:spacing w:line="264" w:lineRule="auto"/>
        <w:jc w:val="both"/>
        <w:rPr>
          <w:sz w:val="21"/>
          <w:szCs w:val="21"/>
          <w:lang w:val="en-US"/>
        </w:rPr>
      </w:pPr>
      <w:r w:rsidRPr="00A67F1F">
        <w:rPr>
          <w:b/>
          <w:sz w:val="21"/>
          <w:szCs w:val="21"/>
          <w:lang w:val="en-US"/>
        </w:rPr>
        <w:t>Abstract.</w:t>
      </w:r>
      <w:r w:rsidRPr="00A67F1F">
        <w:rPr>
          <w:sz w:val="21"/>
          <w:szCs w:val="21"/>
          <w:lang w:val="en-US"/>
        </w:rPr>
        <w:t xml:space="preserve"> </w:t>
      </w:r>
      <w:r w:rsidR="007A468D" w:rsidRPr="00A67F1F">
        <w:rPr>
          <w:sz w:val="21"/>
          <w:szCs w:val="21"/>
          <w:lang w:val="en-US"/>
        </w:rPr>
        <w:t xml:space="preserve">Abstract should be concise and factual, of not more than </w:t>
      </w:r>
      <w:r w:rsidR="003D060A">
        <w:rPr>
          <w:sz w:val="21"/>
          <w:szCs w:val="21"/>
        </w:rPr>
        <w:t>10</w:t>
      </w:r>
      <w:r w:rsidR="007A468D" w:rsidRPr="00A67F1F">
        <w:rPr>
          <w:sz w:val="21"/>
          <w:szCs w:val="21"/>
          <w:lang w:val="en-US"/>
        </w:rPr>
        <w:t>0 words. It should briefly reflect main aspects of the study, as most databases list mainly abstracts. The obtained results do not need to be specified in the abstract, this should be indicated in the Conclusions</w:t>
      </w:r>
      <w:r w:rsidRPr="00A67F1F">
        <w:rPr>
          <w:sz w:val="21"/>
          <w:szCs w:val="21"/>
          <w:lang w:val="en-US"/>
        </w:rPr>
        <w:t>.</w:t>
      </w:r>
    </w:p>
    <w:p w:rsidR="000C1CF8" w:rsidRPr="00A67F1F" w:rsidRDefault="000C1CF8" w:rsidP="000C1CF8">
      <w:pPr>
        <w:spacing w:line="264" w:lineRule="auto"/>
        <w:jc w:val="both"/>
        <w:rPr>
          <w:sz w:val="21"/>
          <w:szCs w:val="21"/>
          <w:lang w:val="en-US"/>
        </w:rPr>
      </w:pPr>
    </w:p>
    <w:p w:rsidR="000C1CF8" w:rsidRPr="00A67F1F" w:rsidRDefault="000C1CF8" w:rsidP="000C1CF8">
      <w:pPr>
        <w:spacing w:line="264" w:lineRule="auto"/>
        <w:jc w:val="both"/>
        <w:rPr>
          <w:sz w:val="21"/>
          <w:szCs w:val="21"/>
          <w:lang w:val="en-US"/>
        </w:rPr>
      </w:pPr>
      <w:r w:rsidRPr="00A67F1F">
        <w:rPr>
          <w:b/>
          <w:sz w:val="21"/>
          <w:szCs w:val="21"/>
          <w:lang w:val="en-US"/>
        </w:rPr>
        <w:t>Keywords:</w:t>
      </w:r>
      <w:r w:rsidRPr="00A67F1F">
        <w:rPr>
          <w:sz w:val="21"/>
          <w:szCs w:val="21"/>
          <w:lang w:val="en-US"/>
        </w:rPr>
        <w:t xml:space="preserve"> </w:t>
      </w:r>
      <w:r w:rsidR="004602C6" w:rsidRPr="00A67F1F">
        <w:rPr>
          <w:sz w:val="21"/>
          <w:szCs w:val="21"/>
          <w:lang w:val="en-US"/>
        </w:rPr>
        <w:t>keyword 1</w:t>
      </w:r>
      <w:r w:rsidR="00AA799B">
        <w:rPr>
          <w:sz w:val="21"/>
          <w:szCs w:val="21"/>
        </w:rPr>
        <w:t>,</w:t>
      </w:r>
      <w:r w:rsidR="004602C6" w:rsidRPr="00A67F1F">
        <w:rPr>
          <w:sz w:val="21"/>
          <w:szCs w:val="21"/>
          <w:lang w:val="en-US"/>
        </w:rPr>
        <w:t xml:space="preserve"> keyword 2</w:t>
      </w:r>
      <w:r w:rsidR="00AA799B">
        <w:rPr>
          <w:sz w:val="21"/>
          <w:szCs w:val="21"/>
        </w:rPr>
        <w:t>,</w:t>
      </w:r>
      <w:r w:rsidR="004602C6" w:rsidRPr="00A67F1F">
        <w:rPr>
          <w:sz w:val="21"/>
          <w:szCs w:val="21"/>
          <w:lang w:val="en-US"/>
        </w:rPr>
        <w:t xml:space="preserve"> keyword 3 (not more than 5-6; should represent content of the whole article and be characteristic of the terminology used within the particular field of study; avoid general and plural terms and multiple concepts (avoid, for example, “and”, “of”’); be sparing with abbreviations: only abbreviations firmly established in the field may be eligible)</w:t>
      </w:r>
      <w:r w:rsidRPr="00A67F1F">
        <w:rPr>
          <w:sz w:val="21"/>
          <w:szCs w:val="21"/>
          <w:lang w:val="en-US"/>
        </w:rPr>
        <w:t>.</w:t>
      </w:r>
    </w:p>
    <w:p w:rsidR="000C1CF8" w:rsidRPr="00A67F1F" w:rsidRDefault="000C1CF8" w:rsidP="000C1CF8">
      <w:pPr>
        <w:spacing w:line="264" w:lineRule="auto"/>
        <w:jc w:val="both"/>
        <w:rPr>
          <w:b/>
          <w:lang w:val="en-US"/>
        </w:rPr>
      </w:pPr>
    </w:p>
    <w:p w:rsidR="000C1CF8" w:rsidRPr="00A67F1F" w:rsidRDefault="000C1CF8" w:rsidP="000C1CF8">
      <w:pPr>
        <w:spacing w:line="264" w:lineRule="auto"/>
        <w:jc w:val="both"/>
        <w:rPr>
          <w:sz w:val="21"/>
          <w:szCs w:val="21"/>
          <w:lang w:val="en-US"/>
        </w:rPr>
      </w:pPr>
      <w:r w:rsidRPr="00A67F1F">
        <w:rPr>
          <w:b/>
          <w:lang w:val="en-US"/>
        </w:rPr>
        <w:t>1. Introduction</w:t>
      </w:r>
    </w:p>
    <w:p w:rsidR="00A67F1F" w:rsidRPr="00A67F1F" w:rsidRDefault="00A67F1F" w:rsidP="00A67F1F">
      <w:pPr>
        <w:spacing w:line="264" w:lineRule="auto"/>
        <w:ind w:firstLine="567"/>
        <w:jc w:val="both"/>
        <w:rPr>
          <w:sz w:val="21"/>
          <w:szCs w:val="21"/>
          <w:lang w:val="en-US"/>
        </w:rPr>
      </w:pPr>
      <w:r w:rsidRPr="00A67F1F">
        <w:rPr>
          <w:sz w:val="21"/>
          <w:szCs w:val="21"/>
          <w:lang w:val="en-US"/>
        </w:rPr>
        <w:t>Introduction should be brief and clear</w:t>
      </w:r>
      <w:r w:rsidRPr="00A67F1F">
        <w:rPr>
          <w:sz w:val="21"/>
          <w:szCs w:val="21"/>
          <w:vertAlign w:val="superscript"/>
          <w:lang w:val="en-US"/>
        </w:rPr>
        <w:t>1</w:t>
      </w:r>
      <w:r w:rsidRPr="00A67F1F">
        <w:rPr>
          <w:sz w:val="21"/>
          <w:szCs w:val="21"/>
          <w:lang w:val="en-US"/>
        </w:rPr>
        <w:t xml:space="preserve"> and needs to include relevant references.</w:t>
      </w:r>
      <w:r w:rsidRPr="00A67F1F">
        <w:rPr>
          <w:sz w:val="21"/>
          <w:szCs w:val="21"/>
          <w:vertAlign w:val="superscript"/>
          <w:lang w:val="en-US"/>
        </w:rPr>
        <w:t>2-4</w:t>
      </w:r>
      <w:r w:rsidRPr="00A67F1F">
        <w:rPr>
          <w:sz w:val="21"/>
          <w:szCs w:val="21"/>
          <w:lang w:val="en-US"/>
        </w:rPr>
        <w:t xml:space="preserve"> The purpose of the research is highlighted at the end of the introduction.</w:t>
      </w:r>
      <w:r w:rsidRPr="00A67F1F">
        <w:rPr>
          <w:sz w:val="21"/>
          <w:szCs w:val="21"/>
          <w:vertAlign w:val="superscript"/>
          <w:lang w:val="en-US"/>
        </w:rPr>
        <w:t>5,6</w:t>
      </w:r>
    </w:p>
    <w:p w:rsidR="000C1CF8" w:rsidRPr="00A67F1F" w:rsidRDefault="000C1CF8" w:rsidP="000C1CF8">
      <w:pPr>
        <w:spacing w:line="264" w:lineRule="auto"/>
        <w:ind w:firstLine="567"/>
        <w:jc w:val="both"/>
        <w:rPr>
          <w:sz w:val="21"/>
          <w:szCs w:val="21"/>
          <w:lang w:val="en-US"/>
        </w:rPr>
      </w:pPr>
    </w:p>
    <w:p w:rsidR="00A67F1F" w:rsidRPr="00A67F1F" w:rsidRDefault="00A67F1F" w:rsidP="00A67F1F">
      <w:pPr>
        <w:spacing w:line="264" w:lineRule="auto"/>
        <w:jc w:val="both"/>
        <w:rPr>
          <w:b/>
          <w:lang w:val="en-US"/>
        </w:rPr>
      </w:pPr>
      <w:r w:rsidRPr="00A67F1F">
        <w:rPr>
          <w:b/>
          <w:lang w:val="en-US"/>
        </w:rPr>
        <w:t>2. Experimental</w:t>
      </w:r>
    </w:p>
    <w:p w:rsidR="00A67F1F" w:rsidRPr="00A67F1F" w:rsidRDefault="00A67F1F" w:rsidP="00A67F1F">
      <w:pPr>
        <w:spacing w:line="264" w:lineRule="auto"/>
        <w:jc w:val="both"/>
        <w:rPr>
          <w:b/>
          <w:sz w:val="21"/>
          <w:szCs w:val="21"/>
          <w:lang w:val="en-US"/>
        </w:rPr>
      </w:pPr>
      <w:r w:rsidRPr="00A67F1F">
        <w:rPr>
          <w:b/>
          <w:sz w:val="21"/>
          <w:szCs w:val="21"/>
          <w:lang w:val="en-US"/>
        </w:rPr>
        <w:t>2.1. Materials</w:t>
      </w:r>
    </w:p>
    <w:p w:rsidR="00A67F1F" w:rsidRDefault="00A67F1F" w:rsidP="00A67F1F">
      <w:pPr>
        <w:spacing w:line="264" w:lineRule="auto"/>
        <w:ind w:firstLine="567"/>
        <w:jc w:val="both"/>
        <w:rPr>
          <w:sz w:val="21"/>
          <w:szCs w:val="21"/>
          <w:lang w:val="en-US"/>
        </w:rPr>
      </w:pPr>
      <w:r w:rsidRPr="00A67F1F">
        <w:rPr>
          <w:sz w:val="21"/>
          <w:szCs w:val="21"/>
          <w:lang w:val="en-US"/>
        </w:rPr>
        <w:t>All materials and methods by which the results were obtained should be described in the Exp</w:t>
      </w:r>
      <w:r w:rsidR="00FE17BB">
        <w:rPr>
          <w:sz w:val="21"/>
          <w:szCs w:val="21"/>
          <w:lang w:val="en-US"/>
        </w:rPr>
        <w:t>erimental or basic theory part.</w:t>
      </w:r>
    </w:p>
    <w:p w:rsidR="00F914EF" w:rsidRPr="00A67F1F" w:rsidRDefault="00F914EF" w:rsidP="00A67F1F">
      <w:pPr>
        <w:spacing w:line="264" w:lineRule="auto"/>
        <w:ind w:firstLine="567"/>
        <w:jc w:val="both"/>
        <w:rPr>
          <w:sz w:val="21"/>
          <w:szCs w:val="21"/>
          <w:lang w:val="en-US"/>
        </w:rPr>
      </w:pPr>
    </w:p>
    <w:p w:rsidR="00A67F1F" w:rsidRPr="00A67F1F" w:rsidRDefault="00A67F1F" w:rsidP="00A67F1F">
      <w:pPr>
        <w:spacing w:line="264" w:lineRule="auto"/>
        <w:jc w:val="both"/>
        <w:rPr>
          <w:b/>
          <w:sz w:val="21"/>
          <w:szCs w:val="21"/>
          <w:lang w:val="en-US"/>
        </w:rPr>
      </w:pPr>
      <w:r w:rsidRPr="00A67F1F">
        <w:rPr>
          <w:b/>
          <w:sz w:val="21"/>
          <w:szCs w:val="21"/>
          <w:lang w:val="en-US"/>
        </w:rPr>
        <w:t>2.2. Methods</w:t>
      </w:r>
    </w:p>
    <w:p w:rsidR="00A67F1F" w:rsidRPr="00A67F1F" w:rsidRDefault="00A67F1F" w:rsidP="00A67F1F">
      <w:pPr>
        <w:spacing w:line="264" w:lineRule="auto"/>
        <w:ind w:firstLine="567"/>
        <w:jc w:val="both"/>
        <w:rPr>
          <w:sz w:val="21"/>
          <w:szCs w:val="21"/>
          <w:lang w:val="en-US"/>
        </w:rPr>
      </w:pPr>
      <w:r w:rsidRPr="00A67F1F">
        <w:rPr>
          <w:sz w:val="21"/>
          <w:szCs w:val="21"/>
          <w:lang w:val="en-US"/>
        </w:rPr>
        <w:t>Subsections should be numbered 2.1., 2.2. (</w:t>
      </w:r>
      <w:r w:rsidR="001D731B">
        <w:rPr>
          <w:sz w:val="21"/>
          <w:szCs w:val="21"/>
          <w:lang w:val="en-US"/>
        </w:rPr>
        <w:t>T</w:t>
      </w:r>
      <w:r w:rsidRPr="00A67F1F">
        <w:rPr>
          <w:sz w:val="21"/>
          <w:szCs w:val="21"/>
          <w:lang w:val="en-US"/>
        </w:rPr>
        <w:t>hen 2.1.1., 2.1.2… may be used).</w:t>
      </w:r>
    </w:p>
    <w:p w:rsidR="00A67F1F" w:rsidRPr="00A67F1F" w:rsidRDefault="00A67F1F" w:rsidP="000C1CF8">
      <w:pPr>
        <w:spacing w:line="264" w:lineRule="auto"/>
        <w:ind w:firstLine="567"/>
        <w:jc w:val="both"/>
        <w:rPr>
          <w:sz w:val="21"/>
          <w:szCs w:val="21"/>
          <w:lang w:val="en-US"/>
        </w:rPr>
      </w:pPr>
    </w:p>
    <w:p w:rsidR="00A67F1F" w:rsidRPr="00A67F1F" w:rsidRDefault="00A67F1F" w:rsidP="00A67F1F">
      <w:pPr>
        <w:spacing w:line="264" w:lineRule="auto"/>
        <w:jc w:val="both"/>
        <w:rPr>
          <w:b/>
          <w:lang w:val="en-US"/>
        </w:rPr>
      </w:pPr>
      <w:r w:rsidRPr="00A67F1F">
        <w:rPr>
          <w:b/>
          <w:lang w:val="en-US"/>
        </w:rPr>
        <w:t>3. Results and Discussion</w:t>
      </w:r>
    </w:p>
    <w:p w:rsidR="00A67F1F" w:rsidRDefault="00A67F1F" w:rsidP="00A67F1F">
      <w:pPr>
        <w:spacing w:line="264" w:lineRule="auto"/>
        <w:ind w:firstLine="567"/>
        <w:jc w:val="both"/>
        <w:rPr>
          <w:sz w:val="21"/>
          <w:szCs w:val="21"/>
          <w:lang w:val="en-US"/>
        </w:rPr>
      </w:pPr>
      <w:r w:rsidRPr="00A67F1F">
        <w:rPr>
          <w:sz w:val="21"/>
          <w:szCs w:val="21"/>
          <w:lang w:val="en-US"/>
        </w:rPr>
        <w:t>Results should be presented with clarity and precision. The Discussion should interpret the findings in view of the results. Also here subheadings may be used. Avoid extensive citations and discussion of published literature. Please move any detailed description of equations or methods to the experimental section (theoretical part).</w:t>
      </w:r>
    </w:p>
    <w:p w:rsidR="00FE17BB" w:rsidRPr="00A67F1F" w:rsidRDefault="00FE17BB" w:rsidP="00A67F1F">
      <w:pPr>
        <w:spacing w:line="264" w:lineRule="auto"/>
        <w:ind w:firstLine="567"/>
        <w:jc w:val="both"/>
        <w:rPr>
          <w:sz w:val="21"/>
          <w:szCs w:val="21"/>
          <w:lang w:val="en-US"/>
        </w:rPr>
      </w:pPr>
    </w:p>
    <w:p w:rsidR="00F914EF" w:rsidRPr="00A67F1F" w:rsidRDefault="00F914EF" w:rsidP="00F914EF">
      <w:pPr>
        <w:spacing w:line="264" w:lineRule="auto"/>
        <w:jc w:val="both"/>
        <w:rPr>
          <w:b/>
          <w:sz w:val="21"/>
          <w:szCs w:val="21"/>
          <w:lang w:val="en-US"/>
        </w:rPr>
      </w:pPr>
      <w:r>
        <w:rPr>
          <w:b/>
          <w:sz w:val="21"/>
          <w:szCs w:val="21"/>
          <w:lang w:val="en-US"/>
        </w:rPr>
        <w:t>3</w:t>
      </w:r>
      <w:r w:rsidRPr="00A67F1F">
        <w:rPr>
          <w:b/>
          <w:sz w:val="21"/>
          <w:szCs w:val="21"/>
          <w:lang w:val="en-US"/>
        </w:rPr>
        <w:t>.</w:t>
      </w:r>
      <w:r>
        <w:rPr>
          <w:b/>
          <w:sz w:val="21"/>
          <w:szCs w:val="21"/>
          <w:lang w:val="en-US"/>
        </w:rPr>
        <w:t>1</w:t>
      </w:r>
      <w:r w:rsidRPr="00A67F1F">
        <w:rPr>
          <w:b/>
          <w:sz w:val="21"/>
          <w:szCs w:val="21"/>
          <w:lang w:val="en-US"/>
        </w:rPr>
        <w:t xml:space="preserve">. </w:t>
      </w:r>
      <w:r w:rsidRPr="00FE17BB">
        <w:rPr>
          <w:b/>
          <w:sz w:val="21"/>
          <w:szCs w:val="21"/>
          <w:lang w:val="en-US"/>
        </w:rPr>
        <w:t>Tables</w:t>
      </w:r>
    </w:p>
    <w:p w:rsidR="00F914EF" w:rsidRDefault="00F914EF" w:rsidP="00F914EF">
      <w:pPr>
        <w:spacing w:line="264" w:lineRule="auto"/>
        <w:ind w:firstLine="567"/>
        <w:jc w:val="both"/>
        <w:rPr>
          <w:sz w:val="21"/>
          <w:szCs w:val="21"/>
          <w:lang w:val="en-US"/>
        </w:rPr>
      </w:pPr>
      <w:r w:rsidRPr="00A67F1F">
        <w:rPr>
          <w:sz w:val="21"/>
          <w:szCs w:val="21"/>
          <w:lang w:val="en-US"/>
        </w:rPr>
        <w:t>Tables are numbered consecutively with Arabic numerals. Basic size of the tables is 9.5; size of the table titles is 10.5. The title should immediately follow the table number at the head of the table. Tables should appear within the manuscript when mentioned and should not be grouped at the end.</w:t>
      </w:r>
    </w:p>
    <w:p w:rsidR="00F914EF" w:rsidRPr="00B75126" w:rsidRDefault="00F914EF" w:rsidP="00F914EF">
      <w:pPr>
        <w:pStyle w:val="a6"/>
        <w:spacing w:line="264" w:lineRule="auto"/>
        <w:ind w:left="0" w:firstLine="567"/>
        <w:jc w:val="both"/>
        <w:rPr>
          <w:sz w:val="21"/>
          <w:szCs w:val="21"/>
          <w:lang w:val="en-US"/>
        </w:rPr>
      </w:pPr>
    </w:p>
    <w:p w:rsidR="00F914EF" w:rsidRPr="00B75126" w:rsidRDefault="00F914EF" w:rsidP="00F914EF">
      <w:pPr>
        <w:spacing w:line="264" w:lineRule="auto"/>
        <w:jc w:val="both"/>
        <w:rPr>
          <w:sz w:val="21"/>
          <w:szCs w:val="21"/>
          <w:lang w:val="en-US"/>
        </w:rPr>
      </w:pPr>
      <w:r w:rsidRPr="00B75126">
        <w:rPr>
          <w:b/>
          <w:sz w:val="21"/>
          <w:szCs w:val="21"/>
          <w:lang w:val="en-US"/>
        </w:rPr>
        <w:t>Table 1.</w:t>
      </w:r>
      <w:r w:rsidRPr="00B75126">
        <w:rPr>
          <w:sz w:val="21"/>
          <w:szCs w:val="21"/>
          <w:lang w:val="en-US"/>
        </w:rPr>
        <w:t xml:space="preserve"> </w:t>
      </w:r>
      <w:r>
        <w:rPr>
          <w:sz w:val="21"/>
          <w:szCs w:val="21"/>
          <w:lang w:val="en-US"/>
        </w:rPr>
        <w:t>This is a table</w:t>
      </w:r>
    </w:p>
    <w:tbl>
      <w:tblPr>
        <w:tblStyle w:val="a5"/>
        <w:tblW w:w="0" w:type="auto"/>
        <w:tblLook w:val="04A0" w:firstRow="1" w:lastRow="0" w:firstColumn="1" w:lastColumn="0" w:noHBand="0" w:noVBand="1"/>
      </w:tblPr>
      <w:tblGrid>
        <w:gridCol w:w="1555"/>
        <w:gridCol w:w="1559"/>
        <w:gridCol w:w="2662"/>
        <w:gridCol w:w="1926"/>
        <w:gridCol w:w="1926"/>
      </w:tblGrid>
      <w:tr w:rsidR="00F914EF" w:rsidRPr="00B75126" w:rsidTr="00DD3165">
        <w:tc>
          <w:tcPr>
            <w:tcW w:w="1555" w:type="dxa"/>
            <w:vMerge w:val="restart"/>
            <w:vAlign w:val="center"/>
          </w:tcPr>
          <w:p w:rsidR="00F914EF" w:rsidRPr="00B75126" w:rsidRDefault="00F914EF" w:rsidP="00DD3165">
            <w:pPr>
              <w:spacing w:line="264" w:lineRule="auto"/>
              <w:jc w:val="center"/>
              <w:rPr>
                <w:sz w:val="19"/>
                <w:szCs w:val="19"/>
                <w:lang w:val="en-US"/>
              </w:rPr>
            </w:pPr>
            <w:r w:rsidRPr="00FE17BB">
              <w:rPr>
                <w:sz w:val="19"/>
                <w:szCs w:val="19"/>
                <w:lang w:val="en-US"/>
              </w:rPr>
              <w:t>Title 1</w:t>
            </w:r>
          </w:p>
        </w:tc>
        <w:tc>
          <w:tcPr>
            <w:tcW w:w="1559" w:type="dxa"/>
            <w:vMerge w:val="restart"/>
            <w:vAlign w:val="center"/>
          </w:tcPr>
          <w:p w:rsidR="00F914EF" w:rsidRPr="00B75126" w:rsidRDefault="00F914EF" w:rsidP="00DD3165">
            <w:pPr>
              <w:spacing w:line="264" w:lineRule="auto"/>
              <w:jc w:val="center"/>
              <w:rPr>
                <w:sz w:val="19"/>
                <w:szCs w:val="19"/>
                <w:lang w:val="en-US"/>
              </w:rPr>
            </w:pPr>
            <w:r w:rsidRPr="00FE17BB">
              <w:rPr>
                <w:sz w:val="19"/>
                <w:szCs w:val="19"/>
                <w:lang w:val="en-US"/>
              </w:rPr>
              <w:t xml:space="preserve">Title </w:t>
            </w:r>
            <w:r>
              <w:rPr>
                <w:sz w:val="19"/>
                <w:szCs w:val="19"/>
                <w:lang w:val="en-US"/>
              </w:rPr>
              <w:t>2</w:t>
            </w:r>
          </w:p>
        </w:tc>
        <w:tc>
          <w:tcPr>
            <w:tcW w:w="2662" w:type="dxa"/>
            <w:vMerge w:val="restart"/>
            <w:vAlign w:val="center"/>
          </w:tcPr>
          <w:p w:rsidR="00F914EF" w:rsidRPr="00B75126" w:rsidRDefault="00F914EF" w:rsidP="00DD3165">
            <w:pPr>
              <w:spacing w:line="264" w:lineRule="auto"/>
              <w:jc w:val="center"/>
              <w:rPr>
                <w:sz w:val="19"/>
                <w:szCs w:val="19"/>
                <w:lang w:val="en-US"/>
              </w:rPr>
            </w:pPr>
            <w:r w:rsidRPr="00FE17BB">
              <w:rPr>
                <w:sz w:val="19"/>
                <w:szCs w:val="19"/>
                <w:lang w:val="en-US"/>
              </w:rPr>
              <w:t xml:space="preserve">Title </w:t>
            </w:r>
            <w:r>
              <w:rPr>
                <w:sz w:val="19"/>
                <w:szCs w:val="19"/>
                <w:lang w:val="en-US"/>
              </w:rPr>
              <w:t>3</w:t>
            </w:r>
          </w:p>
        </w:tc>
        <w:tc>
          <w:tcPr>
            <w:tcW w:w="3852" w:type="dxa"/>
            <w:gridSpan w:val="2"/>
            <w:vAlign w:val="center"/>
          </w:tcPr>
          <w:p w:rsidR="00F914EF" w:rsidRPr="00B75126" w:rsidRDefault="00F914EF" w:rsidP="00DD3165">
            <w:pPr>
              <w:spacing w:line="264" w:lineRule="auto"/>
              <w:jc w:val="center"/>
              <w:rPr>
                <w:sz w:val="19"/>
                <w:szCs w:val="19"/>
                <w:lang w:val="en-US"/>
              </w:rPr>
            </w:pPr>
            <w:r w:rsidRPr="00FE17BB">
              <w:rPr>
                <w:sz w:val="19"/>
                <w:szCs w:val="19"/>
                <w:lang w:val="en-US"/>
              </w:rPr>
              <w:t xml:space="preserve">Title </w:t>
            </w:r>
            <w:r>
              <w:rPr>
                <w:sz w:val="19"/>
                <w:szCs w:val="19"/>
                <w:lang w:val="en-US"/>
              </w:rPr>
              <w:t>4</w:t>
            </w:r>
          </w:p>
        </w:tc>
      </w:tr>
      <w:tr w:rsidR="00F914EF" w:rsidRPr="00B75126" w:rsidTr="00DD3165">
        <w:tc>
          <w:tcPr>
            <w:tcW w:w="1555" w:type="dxa"/>
            <w:vMerge/>
            <w:vAlign w:val="center"/>
          </w:tcPr>
          <w:p w:rsidR="00F914EF" w:rsidRPr="00B75126" w:rsidRDefault="00F914EF" w:rsidP="00DD3165">
            <w:pPr>
              <w:spacing w:line="264" w:lineRule="auto"/>
              <w:jc w:val="center"/>
              <w:rPr>
                <w:sz w:val="19"/>
                <w:szCs w:val="19"/>
                <w:lang w:val="en-US"/>
              </w:rPr>
            </w:pPr>
          </w:p>
        </w:tc>
        <w:tc>
          <w:tcPr>
            <w:tcW w:w="1559" w:type="dxa"/>
            <w:vMerge/>
            <w:vAlign w:val="center"/>
          </w:tcPr>
          <w:p w:rsidR="00F914EF" w:rsidRPr="00B75126" w:rsidRDefault="00F914EF" w:rsidP="00DD3165">
            <w:pPr>
              <w:spacing w:line="264" w:lineRule="auto"/>
              <w:jc w:val="center"/>
              <w:rPr>
                <w:sz w:val="19"/>
                <w:szCs w:val="19"/>
                <w:lang w:val="en-US"/>
              </w:rPr>
            </w:pPr>
          </w:p>
        </w:tc>
        <w:tc>
          <w:tcPr>
            <w:tcW w:w="2662" w:type="dxa"/>
            <w:vMerge/>
            <w:vAlign w:val="center"/>
          </w:tcPr>
          <w:p w:rsidR="00F914EF" w:rsidRPr="00B75126" w:rsidRDefault="00F914EF" w:rsidP="00DD3165">
            <w:pPr>
              <w:spacing w:line="264" w:lineRule="auto"/>
              <w:jc w:val="center"/>
              <w:rPr>
                <w:sz w:val="19"/>
                <w:szCs w:val="19"/>
                <w:lang w:val="en-US"/>
              </w:rPr>
            </w:pPr>
          </w:p>
        </w:tc>
        <w:tc>
          <w:tcPr>
            <w:tcW w:w="1926" w:type="dxa"/>
            <w:vAlign w:val="center"/>
          </w:tcPr>
          <w:p w:rsidR="00F914EF" w:rsidRPr="00B75126" w:rsidRDefault="00F914EF" w:rsidP="00DD3165">
            <w:pPr>
              <w:spacing w:line="264" w:lineRule="auto"/>
              <w:jc w:val="center"/>
              <w:rPr>
                <w:sz w:val="19"/>
                <w:szCs w:val="19"/>
                <w:lang w:val="en-US"/>
              </w:rPr>
            </w:pPr>
            <w:r w:rsidRPr="00FE17BB">
              <w:rPr>
                <w:sz w:val="19"/>
                <w:szCs w:val="19"/>
                <w:lang w:val="en-US"/>
              </w:rPr>
              <w:t xml:space="preserve">Title </w:t>
            </w:r>
            <w:r>
              <w:rPr>
                <w:sz w:val="19"/>
                <w:szCs w:val="19"/>
                <w:lang w:val="en-US"/>
              </w:rPr>
              <w:t>5</w:t>
            </w:r>
          </w:p>
        </w:tc>
        <w:tc>
          <w:tcPr>
            <w:tcW w:w="1926" w:type="dxa"/>
            <w:vAlign w:val="center"/>
          </w:tcPr>
          <w:p w:rsidR="00F914EF" w:rsidRPr="00B75126" w:rsidRDefault="00F914EF" w:rsidP="00DD3165">
            <w:pPr>
              <w:spacing w:line="264" w:lineRule="auto"/>
              <w:jc w:val="center"/>
              <w:rPr>
                <w:sz w:val="19"/>
                <w:szCs w:val="19"/>
                <w:lang w:val="en-US"/>
              </w:rPr>
            </w:pPr>
            <w:r w:rsidRPr="00FE17BB">
              <w:rPr>
                <w:sz w:val="19"/>
                <w:szCs w:val="19"/>
                <w:lang w:val="en-US"/>
              </w:rPr>
              <w:t xml:space="preserve">Title </w:t>
            </w:r>
            <w:r>
              <w:rPr>
                <w:sz w:val="19"/>
                <w:szCs w:val="19"/>
                <w:lang w:val="en-US"/>
              </w:rPr>
              <w:t>6</w:t>
            </w:r>
          </w:p>
        </w:tc>
      </w:tr>
      <w:tr w:rsidR="00F914EF" w:rsidRPr="00B75126" w:rsidTr="00DD3165">
        <w:tc>
          <w:tcPr>
            <w:tcW w:w="1555" w:type="dxa"/>
            <w:vAlign w:val="center"/>
          </w:tcPr>
          <w:p w:rsidR="00F914EF" w:rsidRPr="00B75126" w:rsidRDefault="00F914EF" w:rsidP="00DD3165">
            <w:pPr>
              <w:spacing w:line="264" w:lineRule="auto"/>
              <w:jc w:val="center"/>
              <w:rPr>
                <w:sz w:val="19"/>
                <w:szCs w:val="19"/>
                <w:lang w:val="en-US"/>
              </w:rPr>
            </w:pPr>
            <w:r>
              <w:rPr>
                <w:sz w:val="19"/>
                <w:szCs w:val="19"/>
                <w:lang w:val="en-US"/>
              </w:rPr>
              <w:t>a</w:t>
            </w:r>
          </w:p>
        </w:tc>
        <w:tc>
          <w:tcPr>
            <w:tcW w:w="1559" w:type="dxa"/>
            <w:vAlign w:val="center"/>
          </w:tcPr>
          <w:p w:rsidR="00F914EF" w:rsidRPr="00B75126" w:rsidRDefault="00F914EF" w:rsidP="00DD3165">
            <w:pPr>
              <w:spacing w:line="264" w:lineRule="auto"/>
              <w:jc w:val="center"/>
              <w:rPr>
                <w:sz w:val="19"/>
                <w:szCs w:val="19"/>
                <w:lang w:val="en-US"/>
              </w:rPr>
            </w:pPr>
            <w:r>
              <w:rPr>
                <w:sz w:val="19"/>
                <w:szCs w:val="19"/>
                <w:lang w:val="en-US"/>
              </w:rPr>
              <w:t>1</w:t>
            </w:r>
          </w:p>
        </w:tc>
        <w:tc>
          <w:tcPr>
            <w:tcW w:w="2662" w:type="dxa"/>
            <w:vAlign w:val="center"/>
          </w:tcPr>
          <w:p w:rsidR="00F914EF" w:rsidRPr="00B75126" w:rsidRDefault="00F914EF" w:rsidP="008E086D">
            <w:pPr>
              <w:spacing w:line="264" w:lineRule="auto"/>
              <w:ind w:left="317"/>
              <w:jc w:val="center"/>
              <w:rPr>
                <w:sz w:val="19"/>
                <w:szCs w:val="19"/>
                <w:lang w:val="en-US"/>
              </w:rPr>
            </w:pPr>
            <w:r>
              <w:rPr>
                <w:sz w:val="19"/>
                <w:szCs w:val="19"/>
                <w:lang w:val="en-US"/>
              </w:rPr>
              <w:t>5</w:t>
            </w:r>
          </w:p>
        </w:tc>
        <w:tc>
          <w:tcPr>
            <w:tcW w:w="1926" w:type="dxa"/>
            <w:vAlign w:val="center"/>
          </w:tcPr>
          <w:p w:rsidR="00F914EF" w:rsidRPr="00B75126" w:rsidRDefault="00F914EF" w:rsidP="00DD3165">
            <w:pPr>
              <w:spacing w:line="264" w:lineRule="auto"/>
              <w:jc w:val="center"/>
              <w:rPr>
                <w:sz w:val="19"/>
                <w:szCs w:val="19"/>
                <w:lang w:val="en-US"/>
              </w:rPr>
            </w:pPr>
            <w:r>
              <w:rPr>
                <w:sz w:val="19"/>
                <w:szCs w:val="19"/>
                <w:lang w:val="en-US"/>
              </w:rPr>
              <w:t>9</w:t>
            </w:r>
          </w:p>
        </w:tc>
        <w:tc>
          <w:tcPr>
            <w:tcW w:w="1926" w:type="dxa"/>
            <w:vAlign w:val="center"/>
          </w:tcPr>
          <w:p w:rsidR="00F914EF" w:rsidRPr="00B75126" w:rsidRDefault="00F914EF" w:rsidP="00DD3165">
            <w:pPr>
              <w:spacing w:line="264" w:lineRule="auto"/>
              <w:jc w:val="center"/>
              <w:rPr>
                <w:sz w:val="19"/>
                <w:szCs w:val="19"/>
                <w:lang w:val="en-US"/>
              </w:rPr>
            </w:pPr>
            <w:r>
              <w:rPr>
                <w:sz w:val="19"/>
                <w:szCs w:val="19"/>
                <w:lang w:val="en-US"/>
              </w:rPr>
              <w:t>13</w:t>
            </w:r>
          </w:p>
        </w:tc>
      </w:tr>
      <w:tr w:rsidR="00F914EF" w:rsidRPr="00B75126" w:rsidTr="00DD3165">
        <w:tc>
          <w:tcPr>
            <w:tcW w:w="1555" w:type="dxa"/>
            <w:vAlign w:val="center"/>
          </w:tcPr>
          <w:p w:rsidR="00F914EF" w:rsidRPr="00B75126" w:rsidRDefault="00F914EF" w:rsidP="00DD3165">
            <w:pPr>
              <w:spacing w:line="264" w:lineRule="auto"/>
              <w:jc w:val="center"/>
              <w:rPr>
                <w:sz w:val="19"/>
                <w:szCs w:val="19"/>
                <w:lang w:val="en-US"/>
              </w:rPr>
            </w:pPr>
            <w:r>
              <w:rPr>
                <w:sz w:val="19"/>
                <w:szCs w:val="19"/>
                <w:lang w:val="en-US"/>
              </w:rPr>
              <w:t>b</w:t>
            </w:r>
          </w:p>
        </w:tc>
        <w:tc>
          <w:tcPr>
            <w:tcW w:w="1559" w:type="dxa"/>
            <w:vAlign w:val="center"/>
          </w:tcPr>
          <w:p w:rsidR="00F914EF" w:rsidRPr="00B75126" w:rsidRDefault="00F914EF" w:rsidP="00DD3165">
            <w:pPr>
              <w:spacing w:line="264" w:lineRule="auto"/>
              <w:jc w:val="center"/>
              <w:rPr>
                <w:sz w:val="19"/>
                <w:szCs w:val="19"/>
                <w:lang w:val="en-US"/>
              </w:rPr>
            </w:pPr>
            <w:r>
              <w:rPr>
                <w:sz w:val="19"/>
                <w:szCs w:val="19"/>
                <w:lang w:val="en-US"/>
              </w:rPr>
              <w:t>2</w:t>
            </w:r>
          </w:p>
        </w:tc>
        <w:tc>
          <w:tcPr>
            <w:tcW w:w="2662" w:type="dxa"/>
            <w:vAlign w:val="center"/>
          </w:tcPr>
          <w:p w:rsidR="00F914EF" w:rsidRPr="00B75126" w:rsidRDefault="00F914EF" w:rsidP="008E086D">
            <w:pPr>
              <w:spacing w:line="264" w:lineRule="auto"/>
              <w:ind w:left="317"/>
              <w:jc w:val="center"/>
              <w:rPr>
                <w:sz w:val="19"/>
                <w:szCs w:val="19"/>
                <w:lang w:val="en-US"/>
              </w:rPr>
            </w:pPr>
            <w:r>
              <w:rPr>
                <w:sz w:val="19"/>
                <w:szCs w:val="19"/>
                <w:lang w:val="en-US"/>
              </w:rPr>
              <w:t>6</w:t>
            </w:r>
          </w:p>
        </w:tc>
        <w:tc>
          <w:tcPr>
            <w:tcW w:w="1926" w:type="dxa"/>
            <w:vAlign w:val="center"/>
          </w:tcPr>
          <w:p w:rsidR="00F914EF" w:rsidRPr="00B75126" w:rsidRDefault="00F914EF" w:rsidP="002B6E45">
            <w:pPr>
              <w:spacing w:line="264" w:lineRule="auto"/>
              <w:jc w:val="center"/>
              <w:rPr>
                <w:sz w:val="19"/>
                <w:szCs w:val="19"/>
                <w:lang w:val="en-US"/>
              </w:rPr>
            </w:pPr>
            <w:r>
              <w:rPr>
                <w:sz w:val="19"/>
                <w:szCs w:val="19"/>
                <w:lang w:val="en-US"/>
              </w:rPr>
              <w:t>10</w:t>
            </w:r>
          </w:p>
        </w:tc>
        <w:tc>
          <w:tcPr>
            <w:tcW w:w="1926" w:type="dxa"/>
            <w:vAlign w:val="center"/>
          </w:tcPr>
          <w:p w:rsidR="00F914EF" w:rsidRPr="00B75126" w:rsidRDefault="00F914EF" w:rsidP="00DD3165">
            <w:pPr>
              <w:spacing w:line="264" w:lineRule="auto"/>
              <w:jc w:val="center"/>
              <w:rPr>
                <w:sz w:val="19"/>
                <w:szCs w:val="19"/>
                <w:lang w:val="en-US"/>
              </w:rPr>
            </w:pPr>
            <w:r>
              <w:rPr>
                <w:sz w:val="19"/>
                <w:szCs w:val="19"/>
                <w:lang w:val="en-US"/>
              </w:rPr>
              <w:t>14</w:t>
            </w:r>
          </w:p>
        </w:tc>
      </w:tr>
      <w:tr w:rsidR="00F914EF" w:rsidRPr="00B75126" w:rsidTr="00DD3165">
        <w:tc>
          <w:tcPr>
            <w:tcW w:w="1555" w:type="dxa"/>
            <w:vAlign w:val="center"/>
          </w:tcPr>
          <w:p w:rsidR="00F914EF" w:rsidRPr="00B75126" w:rsidRDefault="00F914EF" w:rsidP="00DD3165">
            <w:pPr>
              <w:spacing w:line="264" w:lineRule="auto"/>
              <w:jc w:val="center"/>
              <w:rPr>
                <w:sz w:val="19"/>
                <w:szCs w:val="19"/>
                <w:lang w:val="en-US"/>
              </w:rPr>
            </w:pPr>
            <w:r>
              <w:rPr>
                <w:sz w:val="19"/>
                <w:szCs w:val="19"/>
                <w:lang w:val="en-US"/>
              </w:rPr>
              <w:t>c</w:t>
            </w:r>
          </w:p>
        </w:tc>
        <w:tc>
          <w:tcPr>
            <w:tcW w:w="1559" w:type="dxa"/>
            <w:vAlign w:val="center"/>
          </w:tcPr>
          <w:p w:rsidR="00F914EF" w:rsidRPr="00B75126" w:rsidRDefault="00F914EF" w:rsidP="00DD3165">
            <w:pPr>
              <w:spacing w:line="264" w:lineRule="auto"/>
              <w:jc w:val="center"/>
              <w:rPr>
                <w:sz w:val="19"/>
                <w:szCs w:val="19"/>
                <w:lang w:val="en-US"/>
              </w:rPr>
            </w:pPr>
            <w:r>
              <w:rPr>
                <w:sz w:val="19"/>
                <w:szCs w:val="19"/>
                <w:lang w:val="en-US"/>
              </w:rPr>
              <w:t>3</w:t>
            </w:r>
          </w:p>
        </w:tc>
        <w:tc>
          <w:tcPr>
            <w:tcW w:w="2662" w:type="dxa"/>
            <w:vAlign w:val="center"/>
          </w:tcPr>
          <w:p w:rsidR="00F914EF" w:rsidRPr="00B75126" w:rsidRDefault="00F914EF" w:rsidP="00DD3165">
            <w:pPr>
              <w:spacing w:line="264" w:lineRule="auto"/>
              <w:ind w:left="317"/>
              <w:jc w:val="center"/>
              <w:rPr>
                <w:sz w:val="19"/>
                <w:szCs w:val="19"/>
                <w:lang w:val="en-US"/>
              </w:rPr>
            </w:pPr>
            <w:r>
              <w:rPr>
                <w:sz w:val="19"/>
                <w:szCs w:val="19"/>
                <w:lang w:val="en-US"/>
              </w:rPr>
              <w:t>7</w:t>
            </w:r>
          </w:p>
        </w:tc>
        <w:tc>
          <w:tcPr>
            <w:tcW w:w="1926" w:type="dxa"/>
            <w:vAlign w:val="center"/>
          </w:tcPr>
          <w:p w:rsidR="00F914EF" w:rsidRPr="00B75126" w:rsidRDefault="00F914EF" w:rsidP="002B6E45">
            <w:pPr>
              <w:spacing w:line="264" w:lineRule="auto"/>
              <w:jc w:val="center"/>
              <w:rPr>
                <w:sz w:val="19"/>
                <w:szCs w:val="19"/>
                <w:lang w:val="en-US"/>
              </w:rPr>
            </w:pPr>
            <w:r>
              <w:rPr>
                <w:sz w:val="19"/>
                <w:szCs w:val="19"/>
                <w:lang w:val="en-US"/>
              </w:rPr>
              <w:t>11</w:t>
            </w:r>
          </w:p>
        </w:tc>
        <w:tc>
          <w:tcPr>
            <w:tcW w:w="1926" w:type="dxa"/>
            <w:vAlign w:val="center"/>
          </w:tcPr>
          <w:p w:rsidR="00F914EF" w:rsidRPr="00B75126" w:rsidRDefault="00F914EF" w:rsidP="00DD3165">
            <w:pPr>
              <w:spacing w:line="264" w:lineRule="auto"/>
              <w:jc w:val="center"/>
              <w:rPr>
                <w:sz w:val="19"/>
                <w:szCs w:val="19"/>
                <w:lang w:val="en-US"/>
              </w:rPr>
            </w:pPr>
            <w:r>
              <w:rPr>
                <w:sz w:val="19"/>
                <w:szCs w:val="19"/>
                <w:lang w:val="en-US"/>
              </w:rPr>
              <w:t>15</w:t>
            </w:r>
          </w:p>
        </w:tc>
      </w:tr>
      <w:tr w:rsidR="00F914EF" w:rsidRPr="00B75126" w:rsidTr="00DD3165">
        <w:tc>
          <w:tcPr>
            <w:tcW w:w="1555" w:type="dxa"/>
            <w:vAlign w:val="center"/>
          </w:tcPr>
          <w:p w:rsidR="00F914EF" w:rsidRDefault="00F914EF" w:rsidP="00DD3165">
            <w:pPr>
              <w:spacing w:line="264" w:lineRule="auto"/>
              <w:jc w:val="center"/>
              <w:rPr>
                <w:sz w:val="19"/>
                <w:szCs w:val="19"/>
                <w:lang w:val="en-US"/>
              </w:rPr>
            </w:pPr>
            <w:r>
              <w:rPr>
                <w:sz w:val="19"/>
                <w:szCs w:val="19"/>
                <w:lang w:val="en-US"/>
              </w:rPr>
              <w:t>d</w:t>
            </w:r>
          </w:p>
        </w:tc>
        <w:tc>
          <w:tcPr>
            <w:tcW w:w="1559" w:type="dxa"/>
            <w:vAlign w:val="center"/>
          </w:tcPr>
          <w:p w:rsidR="00F914EF" w:rsidRDefault="00F914EF" w:rsidP="00DD3165">
            <w:pPr>
              <w:spacing w:line="264" w:lineRule="auto"/>
              <w:jc w:val="center"/>
              <w:rPr>
                <w:sz w:val="19"/>
                <w:szCs w:val="19"/>
                <w:lang w:val="en-US"/>
              </w:rPr>
            </w:pPr>
            <w:r>
              <w:rPr>
                <w:sz w:val="19"/>
                <w:szCs w:val="19"/>
                <w:lang w:val="en-US"/>
              </w:rPr>
              <w:t>4</w:t>
            </w:r>
          </w:p>
        </w:tc>
        <w:tc>
          <w:tcPr>
            <w:tcW w:w="2662" w:type="dxa"/>
            <w:vAlign w:val="center"/>
          </w:tcPr>
          <w:p w:rsidR="00F914EF" w:rsidRDefault="00F914EF" w:rsidP="00DD3165">
            <w:pPr>
              <w:spacing w:line="264" w:lineRule="auto"/>
              <w:ind w:left="317"/>
              <w:jc w:val="center"/>
              <w:rPr>
                <w:sz w:val="19"/>
                <w:szCs w:val="19"/>
                <w:lang w:val="en-US"/>
              </w:rPr>
            </w:pPr>
            <w:r>
              <w:rPr>
                <w:sz w:val="19"/>
                <w:szCs w:val="19"/>
                <w:lang w:val="en-US"/>
              </w:rPr>
              <w:t>8</w:t>
            </w:r>
          </w:p>
        </w:tc>
        <w:tc>
          <w:tcPr>
            <w:tcW w:w="1926" w:type="dxa"/>
            <w:vAlign w:val="center"/>
          </w:tcPr>
          <w:p w:rsidR="00F914EF" w:rsidRPr="00B75126" w:rsidRDefault="00F914EF" w:rsidP="002B6E45">
            <w:pPr>
              <w:spacing w:line="264" w:lineRule="auto"/>
              <w:jc w:val="center"/>
              <w:rPr>
                <w:sz w:val="19"/>
                <w:szCs w:val="19"/>
                <w:lang w:val="en-US"/>
              </w:rPr>
            </w:pPr>
            <w:r>
              <w:rPr>
                <w:sz w:val="19"/>
                <w:szCs w:val="19"/>
                <w:lang w:val="en-US"/>
              </w:rPr>
              <w:t>12</w:t>
            </w:r>
          </w:p>
        </w:tc>
        <w:tc>
          <w:tcPr>
            <w:tcW w:w="1926" w:type="dxa"/>
            <w:vAlign w:val="center"/>
          </w:tcPr>
          <w:p w:rsidR="00F914EF" w:rsidRDefault="00F914EF" w:rsidP="00DD3165">
            <w:pPr>
              <w:spacing w:line="264" w:lineRule="auto"/>
              <w:jc w:val="center"/>
              <w:rPr>
                <w:sz w:val="19"/>
                <w:szCs w:val="19"/>
                <w:lang w:val="en-US"/>
              </w:rPr>
            </w:pPr>
            <w:r>
              <w:rPr>
                <w:sz w:val="19"/>
                <w:szCs w:val="19"/>
                <w:lang w:val="en-US"/>
              </w:rPr>
              <w:t>16</w:t>
            </w:r>
          </w:p>
        </w:tc>
      </w:tr>
    </w:tbl>
    <w:p w:rsidR="00F914EF" w:rsidRPr="00B75126" w:rsidRDefault="00F914EF" w:rsidP="00F914EF">
      <w:pPr>
        <w:spacing w:line="264" w:lineRule="auto"/>
        <w:ind w:firstLine="567"/>
        <w:jc w:val="both"/>
        <w:rPr>
          <w:sz w:val="21"/>
          <w:szCs w:val="21"/>
          <w:lang w:val="en-US"/>
        </w:rPr>
      </w:pPr>
    </w:p>
    <w:p w:rsidR="00FE17BB" w:rsidRPr="00A67F1F" w:rsidRDefault="00FE17BB" w:rsidP="00FE17BB">
      <w:pPr>
        <w:spacing w:line="264" w:lineRule="auto"/>
        <w:jc w:val="both"/>
        <w:rPr>
          <w:b/>
          <w:sz w:val="21"/>
          <w:szCs w:val="21"/>
          <w:lang w:val="en-US"/>
        </w:rPr>
      </w:pPr>
      <w:r>
        <w:rPr>
          <w:b/>
          <w:sz w:val="21"/>
          <w:szCs w:val="21"/>
          <w:lang w:val="en-US"/>
        </w:rPr>
        <w:lastRenderedPageBreak/>
        <w:t>3</w:t>
      </w:r>
      <w:r w:rsidRPr="00A67F1F">
        <w:rPr>
          <w:b/>
          <w:sz w:val="21"/>
          <w:szCs w:val="21"/>
          <w:lang w:val="en-US"/>
        </w:rPr>
        <w:t>.</w:t>
      </w:r>
      <w:r w:rsidR="007A6009">
        <w:rPr>
          <w:b/>
          <w:sz w:val="21"/>
          <w:szCs w:val="21"/>
          <w:lang w:val="en-US"/>
        </w:rPr>
        <w:t>2</w:t>
      </w:r>
      <w:r w:rsidRPr="00A67F1F">
        <w:rPr>
          <w:b/>
          <w:sz w:val="21"/>
          <w:szCs w:val="21"/>
          <w:lang w:val="en-US"/>
        </w:rPr>
        <w:t xml:space="preserve">. </w:t>
      </w:r>
      <w:r w:rsidRPr="00FE17BB">
        <w:rPr>
          <w:b/>
          <w:sz w:val="21"/>
          <w:szCs w:val="21"/>
          <w:lang w:val="en-US"/>
        </w:rPr>
        <w:t>Illustrations (</w:t>
      </w:r>
      <w:r w:rsidR="00E60C9A" w:rsidRPr="00FE17BB">
        <w:rPr>
          <w:b/>
          <w:sz w:val="21"/>
          <w:szCs w:val="21"/>
          <w:lang w:val="en-US"/>
        </w:rPr>
        <w:t>Figures, Graphics</w:t>
      </w:r>
      <w:r w:rsidRPr="00FE17BB">
        <w:rPr>
          <w:b/>
          <w:sz w:val="21"/>
          <w:szCs w:val="21"/>
          <w:lang w:val="en-US"/>
        </w:rPr>
        <w:t xml:space="preserve">, and </w:t>
      </w:r>
      <w:r w:rsidR="00E60C9A" w:rsidRPr="00FE17BB">
        <w:rPr>
          <w:b/>
          <w:sz w:val="21"/>
          <w:szCs w:val="21"/>
          <w:lang w:val="en-US"/>
        </w:rPr>
        <w:t>Pictures</w:t>
      </w:r>
      <w:r w:rsidRPr="00FE17BB">
        <w:rPr>
          <w:b/>
          <w:sz w:val="21"/>
          <w:szCs w:val="21"/>
          <w:lang w:val="en-US"/>
        </w:rPr>
        <w:t>)</w:t>
      </w:r>
    </w:p>
    <w:p w:rsidR="00A67F1F" w:rsidRPr="00A67F1F" w:rsidRDefault="00A67F1F" w:rsidP="00A67F1F">
      <w:pPr>
        <w:spacing w:line="264" w:lineRule="auto"/>
        <w:ind w:firstLine="567"/>
        <w:jc w:val="both"/>
        <w:rPr>
          <w:sz w:val="21"/>
          <w:szCs w:val="21"/>
          <w:lang w:val="en-US"/>
        </w:rPr>
      </w:pPr>
      <w:r w:rsidRPr="00A67F1F">
        <w:rPr>
          <w:sz w:val="21"/>
          <w:szCs w:val="21"/>
          <w:lang w:val="en-US"/>
        </w:rPr>
        <w:t>Figures are numbered consecutively with Arabic numerals. Captions for figures should follow on the same line as the figure number and should be placed under the figure (not on the figure itself), in the center (size 9.5). Figures should appear within the manuscript when mentioned and should not be grouped at the end. They must be suitable for corrections or changes, and their sizes must correspond to the parameters of the page.</w:t>
      </w:r>
    </w:p>
    <w:p w:rsidR="00A67F1F" w:rsidRDefault="00A67F1F" w:rsidP="00A67F1F">
      <w:pPr>
        <w:spacing w:line="264" w:lineRule="auto"/>
        <w:ind w:firstLine="567"/>
        <w:jc w:val="both"/>
        <w:rPr>
          <w:sz w:val="21"/>
          <w:szCs w:val="21"/>
          <w:lang w:val="en-US"/>
        </w:rPr>
      </w:pPr>
      <w:r w:rsidRPr="00A67F1F">
        <w:rPr>
          <w:sz w:val="21"/>
          <w:szCs w:val="21"/>
          <w:lang w:val="en-US"/>
        </w:rPr>
        <w:t xml:space="preserve">The quality of illustrations in </w:t>
      </w:r>
      <w:r w:rsidRPr="00FE17BB">
        <w:rPr>
          <w:i/>
          <w:sz w:val="21"/>
          <w:szCs w:val="21"/>
          <w:lang w:val="en-US"/>
        </w:rPr>
        <w:t>Chem.</w:t>
      </w:r>
      <w:r w:rsidR="00FE17BB" w:rsidRPr="00FE17BB">
        <w:rPr>
          <w:i/>
          <w:sz w:val="21"/>
          <w:szCs w:val="21"/>
          <w:lang w:val="en-US"/>
        </w:rPr>
        <w:t xml:space="preserve"> </w:t>
      </w:r>
      <w:r w:rsidRPr="00FE17BB">
        <w:rPr>
          <w:i/>
          <w:sz w:val="21"/>
          <w:szCs w:val="21"/>
          <w:lang w:val="en-US"/>
        </w:rPr>
        <w:t>Chem.</w:t>
      </w:r>
      <w:r w:rsidR="00FE17BB" w:rsidRPr="00FE17BB">
        <w:rPr>
          <w:i/>
          <w:sz w:val="21"/>
          <w:szCs w:val="21"/>
          <w:lang w:val="en-US"/>
        </w:rPr>
        <w:t xml:space="preserve"> </w:t>
      </w:r>
      <w:r w:rsidRPr="00FE17BB">
        <w:rPr>
          <w:i/>
          <w:sz w:val="21"/>
          <w:szCs w:val="21"/>
          <w:lang w:val="en-US"/>
        </w:rPr>
        <w:t>Technol.</w:t>
      </w:r>
      <w:r w:rsidRPr="00A67F1F">
        <w:rPr>
          <w:sz w:val="21"/>
          <w:szCs w:val="21"/>
          <w:lang w:val="en-US"/>
        </w:rPr>
        <w:t xml:space="preserve"> depends on the quality of the original files provided by the authors. Color figures will be black-and-white, remember this when explain the legend of the figure.</w:t>
      </w:r>
    </w:p>
    <w:p w:rsidR="007A6009" w:rsidRDefault="007A6009" w:rsidP="00A67F1F">
      <w:pPr>
        <w:spacing w:line="264" w:lineRule="auto"/>
        <w:ind w:firstLine="567"/>
        <w:jc w:val="both"/>
        <w:rPr>
          <w:sz w:val="21"/>
          <w:szCs w:val="21"/>
          <w:lang w:val="en-US"/>
        </w:rPr>
      </w:pPr>
    </w:p>
    <w:p w:rsidR="00FE17BB" w:rsidRPr="00B75126" w:rsidRDefault="00FE17BB" w:rsidP="00FE17BB">
      <w:pPr>
        <w:spacing w:line="264" w:lineRule="auto"/>
        <w:jc w:val="center"/>
        <w:rPr>
          <w:sz w:val="21"/>
          <w:szCs w:val="21"/>
          <w:lang w:val="en-US"/>
        </w:rPr>
      </w:pPr>
      <w:r>
        <w:rPr>
          <w:noProof/>
        </w:rPr>
        <w:drawing>
          <wp:inline distT="0" distB="0" distL="0" distR="0">
            <wp:extent cx="962395" cy="1260763"/>
            <wp:effectExtent l="0" t="0" r="9525" b="0"/>
            <wp:docPr id="1" name="Рисунок 1" descr="http://science2016.lp.edu.ua/sites/default/files/Logos/tytulka-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ence2016.lp.edu.ua/sites/default/files/Logos/tytulka-1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1522" cy="1259619"/>
                    </a:xfrm>
                    <a:prstGeom prst="rect">
                      <a:avLst/>
                    </a:prstGeom>
                    <a:noFill/>
                    <a:ln>
                      <a:noFill/>
                    </a:ln>
                  </pic:spPr>
                </pic:pic>
              </a:graphicData>
            </a:graphic>
          </wp:inline>
        </w:drawing>
      </w:r>
    </w:p>
    <w:p w:rsidR="00FE17BB" w:rsidRPr="00B75126" w:rsidRDefault="00FE17BB" w:rsidP="00FE17BB">
      <w:pPr>
        <w:spacing w:line="264" w:lineRule="auto"/>
        <w:jc w:val="center"/>
        <w:rPr>
          <w:sz w:val="19"/>
          <w:szCs w:val="19"/>
          <w:lang w:val="en-US"/>
        </w:rPr>
      </w:pPr>
      <w:r w:rsidRPr="00B75126">
        <w:rPr>
          <w:b/>
          <w:sz w:val="19"/>
          <w:szCs w:val="19"/>
          <w:lang w:val="en-US"/>
        </w:rPr>
        <w:t>Fig. 1.</w:t>
      </w:r>
      <w:r w:rsidRPr="00B75126">
        <w:rPr>
          <w:sz w:val="19"/>
          <w:szCs w:val="19"/>
          <w:lang w:val="en-US"/>
        </w:rPr>
        <w:t xml:space="preserve"> </w:t>
      </w:r>
      <w:r>
        <w:rPr>
          <w:sz w:val="19"/>
          <w:szCs w:val="19"/>
          <w:lang w:val="en-US"/>
        </w:rPr>
        <w:t xml:space="preserve">This is a figure. </w:t>
      </w:r>
      <w:r w:rsidRPr="00FE17BB">
        <w:rPr>
          <w:sz w:val="19"/>
          <w:szCs w:val="19"/>
          <w:lang w:val="en-US"/>
        </w:rPr>
        <w:t>Schemes follow the same formatting.</w:t>
      </w:r>
    </w:p>
    <w:p w:rsidR="00FE17BB" w:rsidRPr="00B75126" w:rsidRDefault="00FE17BB" w:rsidP="00FE17BB">
      <w:pPr>
        <w:spacing w:line="264" w:lineRule="auto"/>
        <w:jc w:val="both"/>
        <w:rPr>
          <w:sz w:val="21"/>
          <w:szCs w:val="21"/>
          <w:lang w:val="en-US"/>
        </w:rPr>
      </w:pPr>
    </w:p>
    <w:p w:rsidR="00FE17BB" w:rsidRPr="00A67F1F" w:rsidRDefault="00FE17BB" w:rsidP="00FE17BB">
      <w:pPr>
        <w:spacing w:line="264" w:lineRule="auto"/>
        <w:jc w:val="both"/>
        <w:rPr>
          <w:b/>
          <w:sz w:val="21"/>
          <w:szCs w:val="21"/>
          <w:lang w:val="en-US"/>
        </w:rPr>
      </w:pPr>
      <w:r>
        <w:rPr>
          <w:b/>
          <w:sz w:val="21"/>
          <w:szCs w:val="21"/>
          <w:lang w:val="en-US"/>
        </w:rPr>
        <w:t>3</w:t>
      </w:r>
      <w:r w:rsidRPr="00A67F1F">
        <w:rPr>
          <w:b/>
          <w:sz w:val="21"/>
          <w:szCs w:val="21"/>
          <w:lang w:val="en-US"/>
        </w:rPr>
        <w:t>.</w:t>
      </w:r>
      <w:r w:rsidR="007A6009">
        <w:rPr>
          <w:b/>
          <w:sz w:val="21"/>
          <w:szCs w:val="21"/>
          <w:lang w:val="en-US"/>
        </w:rPr>
        <w:t>3</w:t>
      </w:r>
      <w:r w:rsidRPr="00A67F1F">
        <w:rPr>
          <w:b/>
          <w:sz w:val="21"/>
          <w:szCs w:val="21"/>
          <w:lang w:val="en-US"/>
        </w:rPr>
        <w:t xml:space="preserve">. </w:t>
      </w:r>
      <w:r w:rsidRPr="00FE17BB">
        <w:rPr>
          <w:b/>
          <w:sz w:val="21"/>
          <w:szCs w:val="21"/>
          <w:lang w:val="en-US"/>
        </w:rPr>
        <w:t>Structural formulas</w:t>
      </w:r>
    </w:p>
    <w:p w:rsidR="00A67F1F" w:rsidRDefault="00A67F1F" w:rsidP="00A67F1F">
      <w:pPr>
        <w:spacing w:line="264" w:lineRule="auto"/>
        <w:ind w:firstLine="567"/>
        <w:jc w:val="both"/>
        <w:rPr>
          <w:sz w:val="21"/>
          <w:szCs w:val="21"/>
          <w:lang w:val="en-US"/>
        </w:rPr>
      </w:pPr>
      <w:r w:rsidRPr="00A67F1F">
        <w:rPr>
          <w:sz w:val="21"/>
          <w:szCs w:val="21"/>
          <w:lang w:val="en-US"/>
        </w:rPr>
        <w:t>Structural formulas should be carefully drawn and numbered consecutively in the order of appearance in the text (with Arabic numerals).</w:t>
      </w:r>
    </w:p>
    <w:p w:rsidR="00FE17BB" w:rsidRPr="00A67F1F" w:rsidRDefault="00FE17BB" w:rsidP="00A67F1F">
      <w:pPr>
        <w:spacing w:line="264" w:lineRule="auto"/>
        <w:ind w:firstLine="567"/>
        <w:jc w:val="both"/>
        <w:rPr>
          <w:sz w:val="21"/>
          <w:szCs w:val="21"/>
          <w:lang w:val="en-US"/>
        </w:rPr>
      </w:pPr>
    </w:p>
    <w:p w:rsidR="00FE17BB" w:rsidRPr="00A67F1F" w:rsidRDefault="00FE17BB" w:rsidP="00FE17BB">
      <w:pPr>
        <w:spacing w:line="264" w:lineRule="auto"/>
        <w:jc w:val="both"/>
        <w:rPr>
          <w:b/>
          <w:sz w:val="21"/>
          <w:szCs w:val="21"/>
          <w:lang w:val="en-US"/>
        </w:rPr>
      </w:pPr>
      <w:r>
        <w:rPr>
          <w:b/>
          <w:sz w:val="21"/>
          <w:szCs w:val="21"/>
          <w:lang w:val="en-US"/>
        </w:rPr>
        <w:t>3</w:t>
      </w:r>
      <w:r w:rsidRPr="00A67F1F">
        <w:rPr>
          <w:b/>
          <w:sz w:val="21"/>
          <w:szCs w:val="21"/>
          <w:lang w:val="en-US"/>
        </w:rPr>
        <w:t>.</w:t>
      </w:r>
      <w:r w:rsidR="007A6009">
        <w:rPr>
          <w:b/>
          <w:sz w:val="21"/>
          <w:szCs w:val="21"/>
          <w:lang w:val="en-US"/>
        </w:rPr>
        <w:t>4</w:t>
      </w:r>
      <w:r w:rsidRPr="00A67F1F">
        <w:rPr>
          <w:b/>
          <w:sz w:val="21"/>
          <w:szCs w:val="21"/>
          <w:lang w:val="en-US"/>
        </w:rPr>
        <w:t xml:space="preserve">. </w:t>
      </w:r>
      <w:r>
        <w:rPr>
          <w:b/>
          <w:sz w:val="21"/>
          <w:szCs w:val="21"/>
          <w:lang w:val="en-US"/>
        </w:rPr>
        <w:t>E</w:t>
      </w:r>
      <w:r w:rsidRPr="00FE17BB">
        <w:rPr>
          <w:b/>
          <w:sz w:val="21"/>
          <w:szCs w:val="21"/>
          <w:lang w:val="en-US"/>
        </w:rPr>
        <w:t>quations</w:t>
      </w:r>
    </w:p>
    <w:p w:rsidR="00A67F1F" w:rsidRDefault="00A67F1F" w:rsidP="00A67F1F">
      <w:pPr>
        <w:spacing w:line="264" w:lineRule="auto"/>
        <w:ind w:firstLine="567"/>
        <w:jc w:val="both"/>
        <w:rPr>
          <w:sz w:val="21"/>
          <w:szCs w:val="21"/>
          <w:lang w:val="en-US"/>
        </w:rPr>
      </w:pPr>
      <w:r w:rsidRPr="00A67F1F">
        <w:rPr>
          <w:sz w:val="21"/>
          <w:szCs w:val="21"/>
          <w:lang w:val="en-US"/>
        </w:rPr>
        <w:t>Chem</w:t>
      </w:r>
      <w:r w:rsidR="007A6009">
        <w:rPr>
          <w:sz w:val="21"/>
          <w:szCs w:val="21"/>
          <w:lang w:val="en-US"/>
        </w:rPr>
        <w:t>ical and mathematical equations</w:t>
      </w:r>
      <w:r w:rsidR="007A6009" w:rsidRPr="00A67F1F">
        <w:rPr>
          <w:sz w:val="21"/>
          <w:szCs w:val="21"/>
          <w:lang w:val="en-US"/>
        </w:rPr>
        <w:t xml:space="preserve"> </w:t>
      </w:r>
      <w:r w:rsidR="007A6009">
        <w:rPr>
          <w:sz w:val="21"/>
          <w:szCs w:val="21"/>
          <w:lang w:val="en-US"/>
        </w:rPr>
        <w:t xml:space="preserve">(Eq.1) </w:t>
      </w:r>
      <w:r w:rsidRPr="00A67F1F">
        <w:rPr>
          <w:sz w:val="21"/>
          <w:szCs w:val="21"/>
          <w:lang w:val="en-US"/>
        </w:rPr>
        <w:t xml:space="preserve">are denoted by Arabic numerals in parentheses at the right side and should be numbered consecutively. </w:t>
      </w:r>
    </w:p>
    <w:p w:rsidR="007A6009" w:rsidRPr="00A67F1F" w:rsidRDefault="007A6009" w:rsidP="00E60C9A">
      <w:pPr>
        <w:spacing w:line="264" w:lineRule="auto"/>
        <w:jc w:val="right"/>
        <w:rPr>
          <w:sz w:val="21"/>
          <w:szCs w:val="21"/>
          <w:lang w:val="en-US"/>
        </w:rPr>
      </w:pPr>
      <m:oMath>
        <m:r>
          <w:rPr>
            <w:rFonts w:ascii="Cambria Math" w:hAnsi="Cambria Math"/>
            <w:sz w:val="21"/>
            <w:szCs w:val="21"/>
            <w:lang w:val="en-US"/>
          </w:rPr>
          <m:t>a=b+c</m:t>
        </m:r>
      </m:oMath>
      <w:r>
        <w:rPr>
          <w:sz w:val="21"/>
          <w:szCs w:val="21"/>
          <w:lang w:val="en-US"/>
        </w:rPr>
        <w:tab/>
      </w:r>
      <w:r w:rsidR="00E60C9A">
        <w:rPr>
          <w:sz w:val="21"/>
          <w:szCs w:val="21"/>
          <w:lang w:val="en-US"/>
        </w:rPr>
        <w:tab/>
      </w:r>
      <w:r w:rsidR="00E60C9A">
        <w:rPr>
          <w:sz w:val="21"/>
          <w:szCs w:val="21"/>
          <w:lang w:val="en-US"/>
        </w:rPr>
        <w:tab/>
      </w:r>
      <w:r w:rsidR="00E60C9A">
        <w:rPr>
          <w:sz w:val="21"/>
          <w:szCs w:val="21"/>
          <w:lang w:val="en-US"/>
        </w:rPr>
        <w:tab/>
      </w:r>
      <w:r w:rsidR="00E60C9A">
        <w:rPr>
          <w:sz w:val="21"/>
          <w:szCs w:val="21"/>
          <w:lang w:val="en-US"/>
        </w:rPr>
        <w:tab/>
      </w:r>
      <w:r w:rsidR="00E60C9A">
        <w:rPr>
          <w:sz w:val="21"/>
          <w:szCs w:val="21"/>
          <w:lang w:val="en-US"/>
        </w:rPr>
        <w:tab/>
      </w:r>
      <w:r w:rsidR="00E60C9A">
        <w:rPr>
          <w:sz w:val="21"/>
          <w:szCs w:val="21"/>
          <w:lang w:val="en-US"/>
        </w:rPr>
        <w:tab/>
      </w:r>
      <w:r w:rsidR="00E60C9A">
        <w:rPr>
          <w:sz w:val="21"/>
          <w:szCs w:val="21"/>
          <w:lang w:val="en-US"/>
        </w:rPr>
        <w:tab/>
      </w:r>
      <w:r>
        <w:rPr>
          <w:sz w:val="21"/>
          <w:szCs w:val="21"/>
          <w:lang w:val="en-US"/>
        </w:rPr>
        <w:tab/>
      </w:r>
      <w:r>
        <w:rPr>
          <w:sz w:val="21"/>
          <w:szCs w:val="21"/>
          <w:lang w:val="en-US"/>
        </w:rPr>
        <w:tab/>
      </w:r>
      <w:r>
        <w:rPr>
          <w:sz w:val="21"/>
          <w:szCs w:val="21"/>
          <w:lang w:val="en-US"/>
        </w:rPr>
        <w:tab/>
        <w:t>(1)</w:t>
      </w:r>
    </w:p>
    <w:p w:rsidR="00A67F1F" w:rsidRDefault="007A6009" w:rsidP="00A67F1F">
      <w:pPr>
        <w:spacing w:line="264" w:lineRule="auto"/>
        <w:ind w:firstLine="567"/>
        <w:jc w:val="both"/>
        <w:rPr>
          <w:sz w:val="21"/>
          <w:szCs w:val="21"/>
          <w:lang w:val="en-US"/>
        </w:rPr>
      </w:pPr>
      <w:r w:rsidRPr="00A67F1F">
        <w:rPr>
          <w:sz w:val="21"/>
          <w:szCs w:val="21"/>
          <w:lang w:val="en-US"/>
        </w:rPr>
        <w:t>Mathematical equations</w:t>
      </w:r>
      <w:r>
        <w:rPr>
          <w:sz w:val="21"/>
          <w:szCs w:val="21"/>
          <w:lang w:val="en-US"/>
        </w:rPr>
        <w:t xml:space="preserve"> </w:t>
      </w:r>
      <w:r w:rsidRPr="00A67F1F">
        <w:rPr>
          <w:sz w:val="21"/>
          <w:szCs w:val="21"/>
          <w:lang w:val="en-US"/>
        </w:rPr>
        <w:t>must be typed and should be presented in the proper type style (</w:t>
      </w:r>
      <w:r w:rsidRPr="00FE17BB">
        <w:rPr>
          <w:i/>
          <w:sz w:val="21"/>
          <w:szCs w:val="21"/>
          <w:lang w:val="en-US"/>
        </w:rPr>
        <w:t>i.e.</w:t>
      </w:r>
      <w:r w:rsidRPr="00A67F1F">
        <w:rPr>
          <w:sz w:val="21"/>
          <w:szCs w:val="21"/>
          <w:lang w:val="en-US"/>
        </w:rPr>
        <w:t xml:space="preserve">, italics, boldface, subscript, superscript, </w:t>
      </w:r>
      <w:r w:rsidRPr="00FE17BB">
        <w:rPr>
          <w:i/>
          <w:sz w:val="21"/>
          <w:szCs w:val="21"/>
          <w:lang w:val="en-US"/>
        </w:rPr>
        <w:t>etc.</w:t>
      </w:r>
      <w:r w:rsidRPr="00A67F1F">
        <w:rPr>
          <w:sz w:val="21"/>
          <w:szCs w:val="21"/>
          <w:lang w:val="en-US"/>
        </w:rPr>
        <w:t>).</w:t>
      </w:r>
    </w:p>
    <w:p w:rsidR="007A6009" w:rsidRPr="00A67F1F" w:rsidRDefault="007A6009" w:rsidP="00A67F1F">
      <w:pPr>
        <w:spacing w:line="264" w:lineRule="auto"/>
        <w:ind w:firstLine="567"/>
        <w:jc w:val="both"/>
        <w:rPr>
          <w:sz w:val="21"/>
          <w:szCs w:val="21"/>
          <w:lang w:val="en-US"/>
        </w:rPr>
      </w:pPr>
    </w:p>
    <w:p w:rsidR="007A6009" w:rsidRPr="00A67F1F" w:rsidRDefault="007A6009" w:rsidP="007A6009">
      <w:pPr>
        <w:spacing w:line="264" w:lineRule="auto"/>
        <w:jc w:val="both"/>
        <w:rPr>
          <w:b/>
          <w:sz w:val="21"/>
          <w:szCs w:val="21"/>
          <w:lang w:val="en-US"/>
        </w:rPr>
      </w:pPr>
      <w:r>
        <w:rPr>
          <w:b/>
          <w:sz w:val="21"/>
          <w:szCs w:val="21"/>
          <w:lang w:val="en-US"/>
        </w:rPr>
        <w:t>3</w:t>
      </w:r>
      <w:r w:rsidRPr="00A67F1F">
        <w:rPr>
          <w:b/>
          <w:sz w:val="21"/>
          <w:szCs w:val="21"/>
          <w:lang w:val="en-US"/>
        </w:rPr>
        <w:t>.</w:t>
      </w:r>
      <w:r>
        <w:rPr>
          <w:b/>
          <w:sz w:val="21"/>
          <w:szCs w:val="21"/>
          <w:lang w:val="en-US"/>
        </w:rPr>
        <w:t>5</w:t>
      </w:r>
      <w:r w:rsidRPr="00A67F1F">
        <w:rPr>
          <w:b/>
          <w:sz w:val="21"/>
          <w:szCs w:val="21"/>
          <w:lang w:val="en-US"/>
        </w:rPr>
        <w:t xml:space="preserve">. </w:t>
      </w:r>
      <w:r w:rsidRPr="007A6009">
        <w:rPr>
          <w:b/>
          <w:sz w:val="21"/>
          <w:szCs w:val="21"/>
          <w:lang w:val="en-US"/>
        </w:rPr>
        <w:t>Units</w:t>
      </w:r>
    </w:p>
    <w:p w:rsidR="00A67F1F" w:rsidRDefault="00A67F1F" w:rsidP="00A67F1F">
      <w:pPr>
        <w:spacing w:line="264" w:lineRule="auto"/>
        <w:ind w:firstLine="567"/>
        <w:jc w:val="both"/>
        <w:rPr>
          <w:sz w:val="21"/>
          <w:szCs w:val="21"/>
          <w:lang w:val="en-US"/>
        </w:rPr>
      </w:pPr>
      <w:r w:rsidRPr="00A67F1F">
        <w:rPr>
          <w:sz w:val="21"/>
          <w:szCs w:val="21"/>
          <w:lang w:val="en-US"/>
        </w:rPr>
        <w:t>Follow internationally accepted rules and conventions: use the international system of units (SI). If other units are mentioned, please give their equivalent in SI.</w:t>
      </w:r>
    </w:p>
    <w:p w:rsidR="007A6009" w:rsidRDefault="007A6009" w:rsidP="00A67F1F">
      <w:pPr>
        <w:spacing w:line="264" w:lineRule="auto"/>
        <w:ind w:firstLine="567"/>
        <w:jc w:val="both"/>
        <w:rPr>
          <w:sz w:val="21"/>
          <w:szCs w:val="21"/>
          <w:lang w:val="en-US"/>
        </w:rPr>
      </w:pPr>
    </w:p>
    <w:p w:rsidR="007A6009" w:rsidRPr="006263CC" w:rsidRDefault="007A6009" w:rsidP="007A6009">
      <w:pPr>
        <w:spacing w:line="264" w:lineRule="auto"/>
        <w:jc w:val="both"/>
        <w:rPr>
          <w:b/>
        </w:rPr>
      </w:pPr>
      <w:r w:rsidRPr="006263CC">
        <w:rPr>
          <w:b/>
        </w:rPr>
        <w:t xml:space="preserve">4. </w:t>
      </w:r>
      <w:r w:rsidRPr="006263CC">
        <w:rPr>
          <w:b/>
          <w:lang w:val="en-US"/>
        </w:rPr>
        <w:t>Conclusions</w:t>
      </w:r>
    </w:p>
    <w:p w:rsidR="007A6009" w:rsidRDefault="007A6009" w:rsidP="007A6009">
      <w:pPr>
        <w:spacing w:line="264" w:lineRule="auto"/>
        <w:ind w:firstLine="567"/>
        <w:jc w:val="both"/>
        <w:rPr>
          <w:sz w:val="21"/>
          <w:szCs w:val="21"/>
          <w:lang w:val="en-US"/>
        </w:rPr>
      </w:pPr>
      <w:r w:rsidRPr="007A6009">
        <w:rPr>
          <w:sz w:val="21"/>
          <w:szCs w:val="21"/>
          <w:lang w:val="en-US"/>
        </w:rPr>
        <w:t>Conclusions should emphasize the main achievements of this work, underline their significance and give examples of their possible application</w:t>
      </w:r>
      <w:r>
        <w:rPr>
          <w:sz w:val="21"/>
          <w:szCs w:val="21"/>
          <w:lang w:val="en-US"/>
        </w:rPr>
        <w:t>s</w:t>
      </w:r>
      <w:r w:rsidRPr="007A6009">
        <w:rPr>
          <w:sz w:val="21"/>
          <w:szCs w:val="21"/>
          <w:lang w:val="en-US"/>
        </w:rPr>
        <w:t>.</w:t>
      </w:r>
    </w:p>
    <w:p w:rsidR="000E2CF6" w:rsidRDefault="000E2CF6" w:rsidP="007A6009">
      <w:pPr>
        <w:spacing w:line="264" w:lineRule="auto"/>
        <w:ind w:firstLine="567"/>
        <w:jc w:val="both"/>
        <w:rPr>
          <w:sz w:val="21"/>
          <w:szCs w:val="21"/>
          <w:lang w:val="en-US"/>
        </w:rPr>
      </w:pPr>
    </w:p>
    <w:p w:rsidR="000E2CF6" w:rsidRPr="000E2CF6" w:rsidRDefault="000E2CF6" w:rsidP="000E2CF6">
      <w:pPr>
        <w:spacing w:line="264" w:lineRule="auto"/>
        <w:jc w:val="both"/>
        <w:rPr>
          <w:b/>
          <w:szCs w:val="21"/>
          <w:lang w:val="en-US"/>
        </w:rPr>
      </w:pPr>
      <w:r w:rsidRPr="000E2CF6">
        <w:rPr>
          <w:b/>
          <w:szCs w:val="21"/>
          <w:lang w:val="en-US"/>
        </w:rPr>
        <w:t>Acknowledgements</w:t>
      </w:r>
    </w:p>
    <w:p w:rsidR="000E2CF6" w:rsidRPr="001D731B" w:rsidRDefault="000E2CF6" w:rsidP="000E2CF6">
      <w:pPr>
        <w:spacing w:line="264" w:lineRule="auto"/>
        <w:ind w:firstLine="567"/>
        <w:jc w:val="both"/>
        <w:rPr>
          <w:spacing w:val="-5"/>
          <w:sz w:val="21"/>
          <w:szCs w:val="21"/>
          <w:lang w:val="en-US"/>
        </w:rPr>
      </w:pPr>
      <w:r w:rsidRPr="001D731B">
        <w:rPr>
          <w:spacing w:val="-5"/>
          <w:sz w:val="21"/>
          <w:szCs w:val="21"/>
          <w:lang w:val="en-US"/>
        </w:rPr>
        <w:t xml:space="preserve">Acknowledgements of people, grants, funds, </w:t>
      </w:r>
      <w:r w:rsidRPr="001D731B">
        <w:rPr>
          <w:i/>
          <w:spacing w:val="-5"/>
          <w:sz w:val="21"/>
          <w:szCs w:val="21"/>
          <w:lang w:val="en-US"/>
        </w:rPr>
        <w:t>etc.</w:t>
      </w:r>
      <w:r w:rsidR="00E60C9A" w:rsidRPr="001D731B">
        <w:rPr>
          <w:spacing w:val="-5"/>
          <w:sz w:val="21"/>
          <w:szCs w:val="21"/>
          <w:lang w:val="en-US"/>
        </w:rPr>
        <w:t>,</w:t>
      </w:r>
      <w:r w:rsidRPr="001D731B">
        <w:rPr>
          <w:spacing w:val="-5"/>
          <w:sz w:val="21"/>
          <w:szCs w:val="21"/>
          <w:lang w:val="en-US"/>
        </w:rPr>
        <w:t xml:space="preserve"> should be brief and placed in a separate paragraph after the text.</w:t>
      </w:r>
    </w:p>
    <w:p w:rsidR="000E2CF6" w:rsidRDefault="000E2CF6" w:rsidP="000E2CF6">
      <w:pPr>
        <w:spacing w:line="264" w:lineRule="auto"/>
        <w:ind w:firstLine="567"/>
        <w:jc w:val="both"/>
        <w:rPr>
          <w:sz w:val="21"/>
          <w:szCs w:val="21"/>
          <w:lang w:val="en-US"/>
        </w:rPr>
      </w:pPr>
    </w:p>
    <w:p w:rsidR="000E2CF6" w:rsidRPr="00E60C9A" w:rsidRDefault="000E2CF6" w:rsidP="000E2CF6">
      <w:pPr>
        <w:spacing w:line="264" w:lineRule="auto"/>
        <w:jc w:val="both"/>
        <w:rPr>
          <w:b/>
          <w:szCs w:val="21"/>
          <w:lang w:val="en-US"/>
        </w:rPr>
      </w:pPr>
      <w:r w:rsidRPr="00E60C9A">
        <w:rPr>
          <w:b/>
          <w:szCs w:val="21"/>
          <w:lang w:val="en-US"/>
        </w:rPr>
        <w:t>Abbreviations</w:t>
      </w:r>
    </w:p>
    <w:p w:rsidR="000E2CF6" w:rsidRDefault="000E2CF6" w:rsidP="000E2CF6">
      <w:pPr>
        <w:spacing w:line="264" w:lineRule="auto"/>
        <w:ind w:firstLine="567"/>
        <w:jc w:val="both"/>
        <w:rPr>
          <w:sz w:val="21"/>
          <w:szCs w:val="21"/>
          <w:lang w:val="en-US"/>
        </w:rPr>
      </w:pPr>
      <w:r w:rsidRPr="000E2CF6">
        <w:rPr>
          <w:sz w:val="21"/>
          <w:szCs w:val="21"/>
          <w:lang w:val="en-US"/>
        </w:rPr>
        <w:t>A list of abbreviations should be included if applicable.</w:t>
      </w:r>
    </w:p>
    <w:p w:rsidR="000E2CF6" w:rsidRDefault="000E2CF6" w:rsidP="000E2CF6">
      <w:pPr>
        <w:spacing w:line="264" w:lineRule="auto"/>
        <w:ind w:firstLine="567"/>
        <w:jc w:val="both"/>
        <w:rPr>
          <w:sz w:val="21"/>
          <w:szCs w:val="21"/>
          <w:lang w:val="en-US"/>
        </w:rPr>
      </w:pPr>
    </w:p>
    <w:p w:rsidR="000E2CF6" w:rsidRPr="00E60C9A" w:rsidRDefault="000E2CF6" w:rsidP="000E2CF6">
      <w:pPr>
        <w:spacing w:line="264" w:lineRule="auto"/>
        <w:jc w:val="both"/>
        <w:rPr>
          <w:b/>
          <w:szCs w:val="21"/>
          <w:lang w:val="en-US"/>
        </w:rPr>
      </w:pPr>
      <w:r w:rsidRPr="00E60C9A">
        <w:rPr>
          <w:b/>
          <w:szCs w:val="21"/>
          <w:lang w:val="en-US"/>
        </w:rPr>
        <w:t>References</w:t>
      </w:r>
    </w:p>
    <w:p w:rsidR="000E2CF6" w:rsidRPr="000E2CF6" w:rsidRDefault="000E2CF6" w:rsidP="000E2CF6">
      <w:pPr>
        <w:spacing w:line="264" w:lineRule="auto"/>
        <w:ind w:firstLine="567"/>
        <w:jc w:val="both"/>
        <w:rPr>
          <w:sz w:val="18"/>
          <w:szCs w:val="21"/>
          <w:lang w:val="en-US"/>
        </w:rPr>
      </w:pPr>
      <w:r w:rsidRPr="000E2CF6">
        <w:rPr>
          <w:sz w:val="18"/>
          <w:szCs w:val="21"/>
          <w:lang w:val="en-US"/>
        </w:rPr>
        <w:t>The accuracy of the references is critical and is the responsibility of the authors. Authors should refrain from using Wikipedia as a source.</w:t>
      </w:r>
    </w:p>
    <w:p w:rsidR="000E2CF6" w:rsidRPr="000E2CF6" w:rsidRDefault="000E2CF6" w:rsidP="000E2CF6">
      <w:pPr>
        <w:spacing w:line="264" w:lineRule="auto"/>
        <w:ind w:firstLine="567"/>
        <w:jc w:val="both"/>
        <w:rPr>
          <w:sz w:val="18"/>
          <w:szCs w:val="21"/>
          <w:lang w:val="en-US"/>
        </w:rPr>
      </w:pPr>
      <w:r w:rsidRPr="000E2CF6">
        <w:rPr>
          <w:sz w:val="18"/>
          <w:szCs w:val="21"/>
          <w:lang w:val="en-US"/>
        </w:rPr>
        <w:t>Reference numbers should be typed as unparenthesized superscripts in the text but should be enclosed in parentheses in the reference list. References should be typed in numerical order at the end of the text. References should be individually numbered with only one reference per citation.</w:t>
      </w:r>
      <w:r w:rsidR="00E60C9A">
        <w:rPr>
          <w:sz w:val="18"/>
          <w:szCs w:val="21"/>
          <w:lang w:val="en-US"/>
        </w:rPr>
        <w:t xml:space="preserve"> </w:t>
      </w:r>
      <w:r w:rsidRPr="000E2CF6">
        <w:rPr>
          <w:sz w:val="18"/>
          <w:szCs w:val="21"/>
          <w:lang w:val="en-US"/>
        </w:rPr>
        <w:t xml:space="preserve">Authors should follow the ACS style for reference format. The titles should be included in title case, and ending page numbers should be included. References with more than 10 authors should list the first 10 authors followed by </w:t>
      </w:r>
      <w:r w:rsidR="00E60C9A">
        <w:rPr>
          <w:sz w:val="18"/>
          <w:szCs w:val="21"/>
          <w:lang w:val="en-US"/>
        </w:rPr>
        <w:t>“</w:t>
      </w:r>
      <w:r w:rsidRPr="00E60C9A">
        <w:rPr>
          <w:i/>
          <w:sz w:val="18"/>
          <w:szCs w:val="21"/>
          <w:lang w:val="en-US"/>
        </w:rPr>
        <w:t>et</w:t>
      </w:r>
      <w:r w:rsidR="00E60C9A">
        <w:rPr>
          <w:i/>
          <w:sz w:val="18"/>
          <w:szCs w:val="21"/>
          <w:lang w:val="en-US"/>
        </w:rPr>
        <w:t> </w:t>
      </w:r>
      <w:r w:rsidRPr="00E60C9A">
        <w:rPr>
          <w:i/>
          <w:sz w:val="18"/>
          <w:szCs w:val="21"/>
          <w:lang w:val="en-US"/>
        </w:rPr>
        <w:t>al.</w:t>
      </w:r>
      <w:r w:rsidRPr="000E2CF6">
        <w:rPr>
          <w:sz w:val="18"/>
          <w:szCs w:val="21"/>
          <w:lang w:val="en-US"/>
        </w:rPr>
        <w:t>” ISO4 abbreviated titles for journals names should be used.</w:t>
      </w:r>
    </w:p>
    <w:p w:rsidR="000E2CF6" w:rsidRPr="000E2CF6" w:rsidRDefault="000E2CF6" w:rsidP="000E2CF6">
      <w:pPr>
        <w:spacing w:line="264" w:lineRule="auto"/>
        <w:ind w:firstLine="567"/>
        <w:jc w:val="both"/>
        <w:rPr>
          <w:sz w:val="18"/>
          <w:szCs w:val="21"/>
          <w:lang w:val="en-US"/>
        </w:rPr>
      </w:pPr>
      <w:r w:rsidRPr="000E2CF6">
        <w:rPr>
          <w:sz w:val="18"/>
          <w:szCs w:val="21"/>
          <w:lang w:val="en-US"/>
        </w:rPr>
        <w:t>No references to unpublished results are allowed, but citation of manuscripts that have been submitted or accepted for publication and have not yet appeared is acceptable. References to materials that are “in press” should include the DOI when available.</w:t>
      </w:r>
    </w:p>
    <w:p w:rsidR="007A6009" w:rsidRDefault="000E2CF6" w:rsidP="000E2CF6">
      <w:pPr>
        <w:spacing w:line="264" w:lineRule="auto"/>
        <w:ind w:firstLine="567"/>
        <w:jc w:val="both"/>
        <w:rPr>
          <w:sz w:val="18"/>
          <w:szCs w:val="21"/>
          <w:lang w:val="en-US"/>
        </w:rPr>
      </w:pPr>
      <w:r w:rsidRPr="000E2CF6">
        <w:rPr>
          <w:sz w:val="18"/>
          <w:szCs w:val="21"/>
          <w:lang w:val="en-US"/>
        </w:rPr>
        <w:lastRenderedPageBreak/>
        <w:t>Journals’ and books’ titles in the original languages must be typed in Latin letters without translation into English.</w:t>
      </w:r>
    </w:p>
    <w:p w:rsidR="000D2B9B" w:rsidRPr="00E60C9A" w:rsidRDefault="000D2B9B" w:rsidP="000E2CF6">
      <w:pPr>
        <w:spacing w:line="264" w:lineRule="auto"/>
        <w:rPr>
          <w:color w:val="000000"/>
          <w:sz w:val="18"/>
          <w:szCs w:val="18"/>
          <w:lang w:val="en-US"/>
        </w:rPr>
      </w:pPr>
    </w:p>
    <w:tbl>
      <w:tblPr>
        <w:tblStyle w:val="1"/>
        <w:tblW w:w="0" w:type="auto"/>
        <w:tblLook w:val="04A0" w:firstRow="1" w:lastRow="0" w:firstColumn="1" w:lastColumn="0" w:noHBand="0" w:noVBand="1"/>
      </w:tblPr>
      <w:tblGrid>
        <w:gridCol w:w="2024"/>
        <w:gridCol w:w="7830"/>
      </w:tblGrid>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E-Book</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[1]</w:t>
            </w:r>
            <w:r w:rsidRPr="00E60C9A">
              <w:rPr>
                <w:color w:val="000000"/>
                <w:sz w:val="18"/>
                <w:szCs w:val="18"/>
                <w:lang w:val="en-US"/>
              </w:rPr>
              <w:t xml:space="preserve"> </w:t>
            </w:r>
            <w:r w:rsidRPr="00E60C9A">
              <w:rPr>
                <w:sz w:val="18"/>
                <w:szCs w:val="18"/>
                <w:lang w:val="en-US" w:eastAsia="fr-FR"/>
              </w:rPr>
              <w:t xml:space="preserve">Hammond, C. </w:t>
            </w:r>
            <w:r w:rsidRPr="00E60C9A">
              <w:rPr>
                <w:i/>
                <w:iCs/>
                <w:sz w:val="18"/>
                <w:szCs w:val="18"/>
                <w:lang w:val="en-US" w:eastAsia="fr-FR"/>
              </w:rPr>
              <w:t>The Basics of Crystallography and Diffraction</w:t>
            </w:r>
            <w:r w:rsidRPr="00E60C9A">
              <w:rPr>
                <w:sz w:val="18"/>
                <w:szCs w:val="18"/>
                <w:lang w:val="en-US" w:eastAsia="fr-FR"/>
              </w:rPr>
              <w:t xml:space="preserve">, 4th ed.; International Union of Crystallography Texts on Crystallography, Vol. 21; Oxford University Press, 2015. https://doi.org/10.1093/acprof:oso/9780198738671.001.0001 </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Book in Print</w:t>
            </w:r>
          </w:p>
        </w:tc>
        <w:tc>
          <w:tcPr>
            <w:tcW w:w="7840" w:type="dxa"/>
          </w:tcPr>
          <w:p w:rsidR="000D2B9B" w:rsidRPr="00E60C9A" w:rsidRDefault="000D2B9B" w:rsidP="000D2B9B">
            <w:pPr>
              <w:spacing w:line="264" w:lineRule="auto"/>
              <w:rPr>
                <w:sz w:val="18"/>
                <w:szCs w:val="18"/>
                <w:lang w:val="en-US" w:eastAsia="fr-FR"/>
              </w:rPr>
            </w:pPr>
            <w:r w:rsidRPr="00E60C9A">
              <w:rPr>
                <w:sz w:val="18"/>
                <w:szCs w:val="18"/>
                <w:lang w:val="en-US" w:eastAsia="fr-FR"/>
              </w:rPr>
              <w:t>[</w:t>
            </w:r>
            <w:r w:rsidRPr="00E60C9A">
              <w:rPr>
                <w:sz w:val="18"/>
                <w:szCs w:val="18"/>
                <w:lang w:eastAsia="fr-FR"/>
              </w:rPr>
              <w:t>1</w:t>
            </w:r>
            <w:r w:rsidRPr="00E60C9A">
              <w:rPr>
                <w:sz w:val="18"/>
                <w:szCs w:val="18"/>
                <w:lang w:val="en-US" w:eastAsia="fr-FR"/>
              </w:rPr>
              <w:t>] Frankel, F. </w:t>
            </w:r>
            <w:r w:rsidRPr="00E60C9A">
              <w:rPr>
                <w:i/>
                <w:iCs/>
                <w:sz w:val="18"/>
                <w:szCs w:val="18"/>
                <w:lang w:val="en-US" w:eastAsia="fr-FR"/>
              </w:rPr>
              <w:t>Picturing Science and Engineering</w:t>
            </w:r>
            <w:r w:rsidRPr="00E60C9A">
              <w:rPr>
                <w:sz w:val="18"/>
                <w:szCs w:val="18"/>
                <w:lang w:val="en-US" w:eastAsia="fr-FR"/>
              </w:rPr>
              <w:t>; MIT Press, 2018.</w:t>
            </w:r>
            <w:r w:rsidRPr="00E60C9A">
              <w:rPr>
                <w:sz w:val="18"/>
                <w:szCs w:val="18"/>
                <w:lang w:eastAsia="fr-FR"/>
              </w:rPr>
              <w:br/>
            </w:r>
            <w:r w:rsidRPr="00E60C9A">
              <w:rPr>
                <w:sz w:val="18"/>
                <w:szCs w:val="18"/>
                <w:lang w:val="en-US" w:eastAsia="fr-FR"/>
              </w:rPr>
              <w:t>[</w:t>
            </w:r>
            <w:r w:rsidRPr="00E60C9A">
              <w:rPr>
                <w:sz w:val="18"/>
                <w:szCs w:val="18"/>
                <w:lang w:eastAsia="fr-FR"/>
              </w:rPr>
              <w:t>2</w:t>
            </w:r>
            <w:r w:rsidRPr="00E60C9A">
              <w:rPr>
                <w:sz w:val="18"/>
                <w:szCs w:val="18"/>
                <w:lang w:val="en-US" w:eastAsia="fr-FR"/>
              </w:rPr>
              <w:t xml:space="preserve">] Chang, R. </w:t>
            </w:r>
            <w:r w:rsidRPr="00E60C9A">
              <w:rPr>
                <w:i/>
                <w:iCs/>
                <w:sz w:val="18"/>
                <w:szCs w:val="18"/>
                <w:lang w:val="en-US" w:eastAsia="fr-FR"/>
              </w:rPr>
              <w:t>General Chemistry: The Essential Concepts,</w:t>
            </w:r>
            <w:r w:rsidRPr="00E60C9A">
              <w:rPr>
                <w:sz w:val="18"/>
                <w:szCs w:val="18"/>
                <w:lang w:val="en-US" w:eastAsia="fr-FR"/>
              </w:rPr>
              <w:t xml:space="preserve"> 12th ed.; McGraw-Hill, 2016.</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E-Book Chapter</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[1] Hammond, C. Crystal Symmetry. In </w:t>
            </w:r>
            <w:r w:rsidRPr="00E60C9A">
              <w:rPr>
                <w:i/>
                <w:iCs/>
                <w:sz w:val="18"/>
                <w:szCs w:val="18"/>
                <w:lang w:val="en-US" w:eastAsia="fr-FR"/>
              </w:rPr>
              <w:t>The Basics of Crystallography and Diffraction</w:t>
            </w:r>
            <w:r w:rsidRPr="00E60C9A">
              <w:rPr>
                <w:sz w:val="18"/>
                <w:szCs w:val="18"/>
                <w:lang w:val="en-US" w:eastAsia="fr-FR"/>
              </w:rPr>
              <w:t>, 4th ed.; International Union of Crystallography Texts on Crystallography, Vol. 21; Oxford University Press, 2015; pp 99−134. https://doi.org/10.1093/acprof:oso/9780198738671.003.0004</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Book Chapter in Print</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[1] Bard, A.J.; Faulkner, L.R. Double-Layer Structure and Absorption. In </w:t>
            </w:r>
            <w:r w:rsidRPr="00E60C9A">
              <w:rPr>
                <w:i/>
                <w:iCs/>
                <w:sz w:val="18"/>
                <w:szCs w:val="18"/>
                <w:lang w:val="en-US" w:eastAsia="fr-FR"/>
              </w:rPr>
              <w:t>Electrochemical Methods: Fundamentals and Applications</w:t>
            </w:r>
            <w:r w:rsidRPr="00E60C9A">
              <w:rPr>
                <w:sz w:val="18"/>
                <w:szCs w:val="18"/>
                <w:lang w:val="en-US" w:eastAsia="fr-FR"/>
              </w:rPr>
              <w:t>, 2nd ed.; John Wiley &amp; Sons, 2001; pp 534−579.</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E-book with Editors</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 xml:space="preserve">[1] </w:t>
            </w:r>
            <w:r w:rsidRPr="00E60C9A">
              <w:rPr>
                <w:i/>
                <w:iCs/>
                <w:sz w:val="18"/>
                <w:szCs w:val="18"/>
                <w:lang w:val="en-US" w:eastAsia="fr-FR"/>
              </w:rPr>
              <w:t>Mom the Chemistry Professor: Personal Accounts and Advice from Chemistry Professors Who Are Mothers</w:t>
            </w:r>
            <w:r w:rsidRPr="00E60C9A">
              <w:rPr>
                <w:sz w:val="18"/>
                <w:szCs w:val="18"/>
                <w:lang w:val="en-US" w:eastAsia="fr-FR"/>
              </w:rPr>
              <w:t>, 2nd ed.; Woznack, K., Charlebois, A., Cole, R. S., Marzabadi, C. H., Webster, G., Eds.; Springer, 2018. https://doi.org/10.1007/978-3-319-78972-9</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Print Journal Article</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 xml:space="preserve">[1] Haoue, S.; </w:t>
            </w:r>
            <w:hyperlink r:id="rId7" w:history="1">
              <w:r w:rsidRPr="00E60C9A">
                <w:rPr>
                  <w:sz w:val="18"/>
                  <w:szCs w:val="18"/>
                  <w:lang w:val="en-US" w:eastAsia="fr-FR"/>
                </w:rPr>
                <w:t>Derdar</w:t>
              </w:r>
            </w:hyperlink>
            <w:r w:rsidRPr="00E60C9A">
              <w:rPr>
                <w:sz w:val="18"/>
                <w:szCs w:val="18"/>
                <w:lang w:val="en-US" w:eastAsia="fr-FR"/>
              </w:rPr>
              <w:t xml:space="preserve">, H.; </w:t>
            </w:r>
            <w:hyperlink r:id="rId8" w:history="1">
              <w:r w:rsidRPr="00E60C9A">
                <w:rPr>
                  <w:sz w:val="18"/>
                  <w:szCs w:val="18"/>
                  <w:lang w:val="en-US" w:eastAsia="fr-FR"/>
                </w:rPr>
                <w:t>Belbachir</w:t>
              </w:r>
            </w:hyperlink>
            <w:r w:rsidRPr="00E60C9A">
              <w:rPr>
                <w:sz w:val="18"/>
                <w:szCs w:val="18"/>
                <w:lang w:val="en-US" w:eastAsia="fr-FR"/>
              </w:rPr>
              <w:t xml:space="preserve">, M.; </w:t>
            </w:r>
            <w:hyperlink r:id="rId9" w:history="1">
              <w:r w:rsidRPr="00E60C9A">
                <w:rPr>
                  <w:sz w:val="18"/>
                  <w:szCs w:val="18"/>
                  <w:lang w:val="en-US" w:eastAsia="fr-FR"/>
                </w:rPr>
                <w:t>Harrane, A</w:t>
              </w:r>
            </w:hyperlink>
            <w:r w:rsidRPr="00E60C9A">
              <w:rPr>
                <w:sz w:val="18"/>
                <w:szCs w:val="18"/>
                <w:lang w:val="en-US" w:eastAsia="fr-FR"/>
              </w:rPr>
              <w:t>.</w:t>
            </w:r>
            <w:r w:rsidRPr="00E60C9A">
              <w:rPr>
                <w:sz w:val="18"/>
                <w:szCs w:val="18"/>
                <w:lang w:eastAsia="fr-FR"/>
              </w:rPr>
              <w:t xml:space="preserve"> </w:t>
            </w:r>
            <w:r w:rsidRPr="00E60C9A">
              <w:rPr>
                <w:sz w:val="18"/>
                <w:szCs w:val="18"/>
                <w:lang w:val="en-US" w:eastAsia="fr-FR"/>
              </w:rPr>
              <w:t xml:space="preserve">A New Green Catalyst for Synthesis of bis-Macromonomers of Polyethylene Glycol (PEG). </w:t>
            </w:r>
            <w:r w:rsidRPr="00E60C9A">
              <w:rPr>
                <w:i/>
                <w:sz w:val="18"/>
                <w:szCs w:val="18"/>
                <w:lang w:val="en-US" w:eastAsia="fr-FR"/>
              </w:rPr>
              <w:t>Chem. Chem. Technol</w:t>
            </w:r>
            <w:r w:rsidRPr="00E60C9A">
              <w:rPr>
                <w:sz w:val="18"/>
                <w:szCs w:val="18"/>
                <w:lang w:val="en-US" w:eastAsia="fr-FR"/>
              </w:rPr>
              <w:t xml:space="preserve">. </w:t>
            </w:r>
            <w:r w:rsidRPr="00E60C9A">
              <w:rPr>
                <w:b/>
                <w:sz w:val="18"/>
                <w:szCs w:val="18"/>
                <w:lang w:val="en-US" w:eastAsia="fr-FR"/>
              </w:rPr>
              <w:t>2020</w:t>
            </w:r>
            <w:r w:rsidRPr="00E60C9A">
              <w:rPr>
                <w:sz w:val="18"/>
                <w:szCs w:val="18"/>
                <w:lang w:val="en-US" w:eastAsia="fr-FR"/>
              </w:rPr>
              <w:t xml:space="preserve">, </w:t>
            </w:r>
            <w:r w:rsidRPr="00E60C9A">
              <w:rPr>
                <w:i/>
                <w:sz w:val="18"/>
                <w:szCs w:val="18"/>
                <w:lang w:val="en-US" w:eastAsia="fr-FR"/>
              </w:rPr>
              <w:t>14</w:t>
            </w:r>
            <w:r w:rsidRPr="00E60C9A">
              <w:rPr>
                <w:sz w:val="18"/>
                <w:szCs w:val="18"/>
                <w:lang w:val="en-US" w:eastAsia="fr-FR"/>
              </w:rPr>
              <w:t>, 468–473.</w:t>
            </w:r>
            <w:r w:rsidRPr="00E60C9A">
              <w:rPr>
                <w:sz w:val="18"/>
                <w:szCs w:val="18"/>
                <w:lang w:eastAsia="fr-FR"/>
              </w:rPr>
              <w:t xml:space="preserve"> </w:t>
            </w:r>
            <w:r w:rsidRPr="00E60C9A">
              <w:rPr>
                <w:sz w:val="18"/>
                <w:szCs w:val="18"/>
                <w:lang w:val="en-US" w:eastAsia="fr-FR"/>
              </w:rPr>
              <w:t>https://doi.org/10.23939/chcht14.04.468</w:t>
            </w:r>
          </w:p>
          <w:p w:rsidR="000D2B9B" w:rsidRPr="00E60C9A" w:rsidRDefault="000D2B9B" w:rsidP="000D2B9B">
            <w:pPr>
              <w:spacing w:line="264" w:lineRule="auto"/>
              <w:rPr>
                <w:sz w:val="18"/>
                <w:szCs w:val="18"/>
                <w:lang w:eastAsia="fr-FR"/>
              </w:rPr>
            </w:pPr>
            <w:r w:rsidRPr="00E60C9A">
              <w:rPr>
                <w:sz w:val="18"/>
                <w:szCs w:val="18"/>
                <w:lang w:val="en-US" w:eastAsia="fr-FR"/>
              </w:rPr>
              <w:t xml:space="preserve">[2] Foster, J.C.; Varlas, S.; Couturaud, B.; Coe, J.; O’Reilly, R. K. Getting into Shape: Reflections on a New Generation of Cylindrical Nanostructures’ Self-Assembly Using Polymer Building Block. </w:t>
            </w:r>
            <w:r w:rsidRPr="00E60C9A">
              <w:rPr>
                <w:i/>
                <w:iCs/>
                <w:sz w:val="18"/>
                <w:szCs w:val="18"/>
                <w:lang w:val="en-US" w:eastAsia="fr-FR"/>
              </w:rPr>
              <w:t>J. Am. Chem. Soc.</w:t>
            </w:r>
            <w:r w:rsidRPr="00E60C9A">
              <w:rPr>
                <w:sz w:val="18"/>
                <w:szCs w:val="18"/>
                <w:lang w:val="en-US" w:eastAsia="fr-FR"/>
              </w:rPr>
              <w:t xml:space="preserve"> </w:t>
            </w:r>
            <w:r w:rsidRPr="00E60C9A">
              <w:rPr>
                <w:b/>
                <w:bCs/>
                <w:sz w:val="18"/>
                <w:szCs w:val="18"/>
                <w:lang w:val="en-US" w:eastAsia="fr-FR"/>
              </w:rPr>
              <w:t>2019</w:t>
            </w:r>
            <w:r w:rsidRPr="00E60C9A">
              <w:rPr>
                <w:sz w:val="18"/>
                <w:szCs w:val="18"/>
                <w:lang w:val="en-US" w:eastAsia="fr-FR"/>
              </w:rPr>
              <w:t xml:space="preserve">, </w:t>
            </w:r>
            <w:r w:rsidRPr="00E60C9A">
              <w:rPr>
                <w:i/>
                <w:iCs/>
                <w:sz w:val="18"/>
                <w:szCs w:val="18"/>
                <w:lang w:val="en-US" w:eastAsia="fr-FR"/>
              </w:rPr>
              <w:t>141</w:t>
            </w:r>
            <w:r w:rsidRPr="00E60C9A">
              <w:rPr>
                <w:sz w:val="18"/>
                <w:szCs w:val="18"/>
                <w:lang w:val="en-US" w:eastAsia="fr-FR"/>
              </w:rPr>
              <w:t>, 2742−2753. https://doi.org/10.1021/jacs.8b08648</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Electronic Journal Article</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 xml:space="preserve">[1] Peacock-Lopez, E. Exact Solutions of the Quantum Double Square-Well Potential. </w:t>
            </w:r>
            <w:r w:rsidRPr="00E60C9A">
              <w:rPr>
                <w:i/>
                <w:iCs/>
                <w:sz w:val="18"/>
                <w:szCs w:val="18"/>
                <w:lang w:val="en-US" w:eastAsia="fr-FR"/>
              </w:rPr>
              <w:t>Chem. Ed.</w:t>
            </w:r>
            <w:r w:rsidRPr="00E60C9A">
              <w:rPr>
                <w:sz w:val="18"/>
                <w:szCs w:val="18"/>
                <w:lang w:val="en-US" w:eastAsia="fr-FR"/>
              </w:rPr>
              <w:t xml:space="preserve"> [Online] </w:t>
            </w:r>
            <w:r w:rsidRPr="00E60C9A">
              <w:rPr>
                <w:b/>
                <w:bCs/>
                <w:sz w:val="18"/>
                <w:szCs w:val="18"/>
                <w:lang w:val="en-US" w:eastAsia="fr-FR"/>
              </w:rPr>
              <w:t>2007</w:t>
            </w:r>
            <w:r w:rsidRPr="00E60C9A">
              <w:rPr>
                <w:sz w:val="18"/>
                <w:szCs w:val="18"/>
                <w:lang w:val="en-US" w:eastAsia="fr-FR"/>
              </w:rPr>
              <w:t xml:space="preserve">, </w:t>
            </w:r>
            <w:r w:rsidRPr="00E60C9A">
              <w:rPr>
                <w:i/>
                <w:iCs/>
                <w:sz w:val="18"/>
                <w:szCs w:val="18"/>
                <w:lang w:val="en-US" w:eastAsia="fr-FR"/>
              </w:rPr>
              <w:t>11</w:t>
            </w:r>
            <w:r w:rsidRPr="00E60C9A">
              <w:rPr>
                <w:sz w:val="18"/>
                <w:szCs w:val="18"/>
                <w:lang w:val="en-US" w:eastAsia="fr-FR"/>
              </w:rPr>
              <w:t>, 383-393. http://chemeducator.org/bibs/0011006/11060383ep.htm (accessed Dec 6, 2018).</w:t>
            </w:r>
            <w:r w:rsidRPr="00E60C9A">
              <w:rPr>
                <w:sz w:val="18"/>
                <w:szCs w:val="18"/>
                <w:lang w:eastAsia="fr-FR"/>
              </w:rPr>
              <w:br/>
            </w:r>
            <w:r w:rsidRPr="00E60C9A">
              <w:rPr>
                <w:sz w:val="18"/>
                <w:szCs w:val="18"/>
                <w:lang w:val="en-US" w:eastAsia="fr-FR"/>
              </w:rPr>
              <w:t xml:space="preserve">[2] Chung, J.M.; Peacock-Lopez, E. Cross-Diffusion in the Templator Model of Chemical Self-Replication. </w:t>
            </w:r>
            <w:r w:rsidRPr="00E60C9A">
              <w:rPr>
                <w:i/>
                <w:iCs/>
                <w:sz w:val="18"/>
                <w:szCs w:val="18"/>
                <w:lang w:val="en-US" w:eastAsia="fr-FR"/>
              </w:rPr>
              <w:t>Phys. Lett. A</w:t>
            </w:r>
            <w:r w:rsidRPr="00E60C9A">
              <w:rPr>
                <w:sz w:val="18"/>
                <w:szCs w:val="18"/>
                <w:lang w:val="en-US" w:eastAsia="fr-FR"/>
              </w:rPr>
              <w:t xml:space="preserve"> [Online early access]. https://doi.org/10.1016/j.physleta.2007.04.114. Published online: June 12, 2007. http://www.sciencedirect.com (accessed Aug 23, 2007).</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Theses</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 xml:space="preserve">[1] </w:t>
            </w:r>
            <w:r w:rsidRPr="00E60C9A">
              <w:rPr>
                <w:sz w:val="18"/>
                <w:szCs w:val="18"/>
                <w:lang w:eastAsia="fr-FR"/>
              </w:rPr>
              <w:t>Tsien, R.Y. The Design and Use of Organic Chemical Tools in Cellular Physiology. Ph.D. Thesis, University of Cambridge, Cambridge, U.K., 1976.</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Patents</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 xml:space="preserve">[1] </w:t>
            </w:r>
            <w:r w:rsidRPr="00E60C9A">
              <w:rPr>
                <w:sz w:val="18"/>
                <w:szCs w:val="18"/>
                <w:lang w:eastAsia="fr-FR"/>
              </w:rPr>
              <w:t>Diamond, G.; Murphy, V.; Leclerc, M.; Goh, C.; Hall, K.; LaPointe, A. M.; Boussie, T.; Lund, C. Coordination catalysts. US 20020002257 A1, January 3, 2002.</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Conferences</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[1] Winstein, S. In </w:t>
            </w:r>
            <w:r w:rsidRPr="00E60C9A">
              <w:rPr>
                <w:i/>
                <w:iCs/>
                <w:sz w:val="18"/>
                <w:szCs w:val="18"/>
                <w:lang w:val="en-US" w:eastAsia="fr-FR"/>
              </w:rPr>
              <w:t>University Chemical Education,</w:t>
            </w:r>
            <w:r w:rsidRPr="00E60C9A">
              <w:rPr>
                <w:sz w:val="18"/>
                <w:szCs w:val="18"/>
                <w:lang w:val="en-US" w:eastAsia="fr-FR"/>
              </w:rPr>
              <w:t> Proceedings of the International Symposium on University Chemical Education, Frascati (Rome), Italy, October 16-19, 1969; Chisman, D.G., Ed.; Butterworths: London, 1970.</w:t>
            </w:r>
            <w:r w:rsidRPr="00E60C9A">
              <w:rPr>
                <w:sz w:val="18"/>
                <w:szCs w:val="18"/>
                <w:lang w:eastAsia="fr-FR"/>
              </w:rPr>
              <w:br/>
            </w:r>
            <w:r w:rsidRPr="00E60C9A">
              <w:rPr>
                <w:sz w:val="18"/>
                <w:szCs w:val="18"/>
                <w:lang w:val="en-US" w:eastAsia="fr-FR"/>
              </w:rPr>
              <w:t xml:space="preserve">[2] Kaplan, L.J.; Selder, A. </w:t>
            </w:r>
            <w:r w:rsidRPr="00E60C9A">
              <w:rPr>
                <w:i/>
                <w:iCs/>
                <w:sz w:val="18"/>
                <w:szCs w:val="18"/>
                <w:lang w:val="en-US" w:eastAsia="fr-FR"/>
              </w:rPr>
              <w:t>Books of Abstracts,</w:t>
            </w:r>
            <w:r w:rsidRPr="00E60C9A">
              <w:rPr>
                <w:sz w:val="18"/>
                <w:szCs w:val="18"/>
                <w:lang w:val="en-US" w:eastAsia="fr-FR"/>
              </w:rPr>
              <w:t xml:space="preserve"> 213</w:t>
            </w:r>
            <w:r w:rsidRPr="00E60C9A">
              <w:rPr>
                <w:sz w:val="18"/>
                <w:szCs w:val="18"/>
                <w:vertAlign w:val="superscript"/>
                <w:lang w:val="en-US" w:eastAsia="fr-FR"/>
              </w:rPr>
              <w:t>th</w:t>
            </w:r>
            <w:r w:rsidRPr="00E60C9A">
              <w:rPr>
                <w:sz w:val="18"/>
                <w:szCs w:val="18"/>
                <w:lang w:val="en-US" w:eastAsia="fr-FR"/>
              </w:rPr>
              <w:t xml:space="preserve"> ACS National Meeting, San Francisco, CA, April 13-17, 1997; American Chemical Society: Washington, DC, 1997; CHED-824.</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Technical Reports and Bulletins</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 xml:space="preserve">[1] Crampton, S.B.; McAllaster, D. R. </w:t>
            </w:r>
            <w:r w:rsidRPr="00E60C9A">
              <w:rPr>
                <w:i/>
                <w:iCs/>
                <w:sz w:val="18"/>
                <w:szCs w:val="18"/>
                <w:lang w:val="en-US" w:eastAsia="fr-FR"/>
              </w:rPr>
              <w:t>Collision and Motional Averaging Effects in Cryogenic Atomic Hydrogen Masers;</w:t>
            </w:r>
            <w:r w:rsidRPr="00E60C9A">
              <w:rPr>
                <w:sz w:val="18"/>
                <w:szCs w:val="18"/>
                <w:lang w:val="en-US" w:eastAsia="fr-FR"/>
              </w:rPr>
              <w:t xml:space="preserve"> WMC-AFOSR-002; NTIS: Springfield, VA, 1983.</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Website</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 xml:space="preserve">[1] </w:t>
            </w:r>
            <w:r w:rsidRPr="00E60C9A">
              <w:rPr>
                <w:i/>
                <w:iCs/>
                <w:sz w:val="18"/>
                <w:szCs w:val="18"/>
                <w:lang w:val="en-US" w:eastAsia="fr-FR"/>
              </w:rPr>
              <w:t>ACS Publications Home Page</w:t>
            </w:r>
            <w:r w:rsidRPr="00E60C9A">
              <w:rPr>
                <w:sz w:val="18"/>
                <w:szCs w:val="18"/>
                <w:lang w:val="en-US" w:eastAsia="fr-FR"/>
              </w:rPr>
              <w:t>. https://pubs.acs.org/ (accessed 2019-02-21).</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Document from a Website</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[1] American Chemical Society, Committee on Chemical Safety, Task Force for Safety Education Guidelines. </w:t>
            </w:r>
            <w:r w:rsidRPr="00E60C9A">
              <w:rPr>
                <w:i/>
                <w:iCs/>
                <w:sz w:val="18"/>
                <w:szCs w:val="18"/>
                <w:lang w:val="en-US" w:eastAsia="fr-FR"/>
              </w:rPr>
              <w:t>Guidelines for Chemical Laboratory Safety in Academic Institutions</w:t>
            </w:r>
            <w:r w:rsidRPr="00E60C9A">
              <w:rPr>
                <w:sz w:val="18"/>
                <w:szCs w:val="18"/>
                <w:lang w:val="en-US" w:eastAsia="fr-FR"/>
              </w:rPr>
              <w:t>. American Chemical Society, 2016. https://www.acs.org/content/dam/acsorg/about/governance/committees/chemicalsafety/publications/acs-safety-guidelines-academic.pdf (accessed 2019-02-21).</w:t>
            </w:r>
          </w:p>
        </w:tc>
      </w:tr>
    </w:tbl>
    <w:p w:rsidR="00AA799B" w:rsidRPr="00AA799B" w:rsidRDefault="00AA799B" w:rsidP="00AA799B">
      <w:pPr>
        <w:spacing w:line="264" w:lineRule="auto"/>
        <w:jc w:val="both"/>
        <w:rPr>
          <w:sz w:val="17"/>
          <w:szCs w:val="17"/>
          <w:lang w:val="en-US"/>
        </w:rPr>
      </w:pPr>
    </w:p>
    <w:p w:rsidR="00AA799B" w:rsidRPr="00AA799B" w:rsidRDefault="00AA799B" w:rsidP="00AA799B">
      <w:pPr>
        <w:spacing w:line="264" w:lineRule="auto"/>
        <w:ind w:firstLine="567"/>
        <w:jc w:val="right"/>
        <w:rPr>
          <w:sz w:val="17"/>
          <w:szCs w:val="17"/>
          <w:lang w:val="en-US"/>
        </w:rPr>
      </w:pPr>
      <w:r w:rsidRPr="00AA799B">
        <w:rPr>
          <w:i/>
          <w:sz w:val="17"/>
          <w:szCs w:val="17"/>
          <w:lang w:val="en-US"/>
        </w:rPr>
        <w:t xml:space="preserve">Received: </w:t>
      </w:r>
      <w:r>
        <w:rPr>
          <w:i/>
          <w:sz w:val="17"/>
          <w:szCs w:val="17"/>
          <w:lang w:val="en-US"/>
        </w:rPr>
        <w:t>Month</w:t>
      </w:r>
      <w:r w:rsidRPr="00AA799B">
        <w:rPr>
          <w:i/>
          <w:sz w:val="17"/>
          <w:szCs w:val="17"/>
          <w:lang w:val="en-US"/>
        </w:rPr>
        <w:t xml:space="preserve"> </w:t>
      </w:r>
      <w:r>
        <w:rPr>
          <w:i/>
          <w:sz w:val="17"/>
          <w:szCs w:val="17"/>
          <w:lang w:val="en-US"/>
        </w:rPr>
        <w:t>DD</w:t>
      </w:r>
      <w:r w:rsidRPr="00AA799B">
        <w:rPr>
          <w:i/>
          <w:sz w:val="17"/>
          <w:szCs w:val="17"/>
          <w:lang w:val="en-US"/>
        </w:rPr>
        <w:t xml:space="preserve">, </w:t>
      </w:r>
      <w:r>
        <w:rPr>
          <w:i/>
          <w:sz w:val="17"/>
          <w:szCs w:val="17"/>
          <w:lang w:val="en-US"/>
        </w:rPr>
        <w:t>YYYY</w:t>
      </w:r>
      <w:r w:rsidRPr="00AA799B">
        <w:rPr>
          <w:i/>
          <w:sz w:val="17"/>
          <w:szCs w:val="17"/>
          <w:lang w:val="en-US"/>
        </w:rPr>
        <w:t xml:space="preserve"> / Revised: </w:t>
      </w:r>
      <w:r>
        <w:rPr>
          <w:i/>
          <w:sz w:val="17"/>
          <w:szCs w:val="17"/>
          <w:lang w:val="en-US"/>
        </w:rPr>
        <w:t>Month</w:t>
      </w:r>
      <w:r w:rsidRPr="00AA799B">
        <w:rPr>
          <w:i/>
          <w:sz w:val="17"/>
          <w:szCs w:val="17"/>
          <w:lang w:val="en-US"/>
        </w:rPr>
        <w:t xml:space="preserve"> </w:t>
      </w:r>
      <w:r>
        <w:rPr>
          <w:i/>
          <w:sz w:val="17"/>
          <w:szCs w:val="17"/>
          <w:lang w:val="en-US"/>
        </w:rPr>
        <w:t>DD</w:t>
      </w:r>
      <w:r w:rsidRPr="00AA799B">
        <w:rPr>
          <w:i/>
          <w:sz w:val="17"/>
          <w:szCs w:val="17"/>
          <w:lang w:val="en-US"/>
        </w:rPr>
        <w:t xml:space="preserve">, </w:t>
      </w:r>
      <w:r>
        <w:rPr>
          <w:i/>
          <w:sz w:val="17"/>
          <w:szCs w:val="17"/>
          <w:lang w:val="en-US"/>
        </w:rPr>
        <w:t>YYYY</w:t>
      </w:r>
      <w:r w:rsidRPr="00AA799B">
        <w:rPr>
          <w:i/>
          <w:sz w:val="17"/>
          <w:szCs w:val="17"/>
          <w:lang w:val="en-US"/>
        </w:rPr>
        <w:t xml:space="preserve"> / Accepted: </w:t>
      </w:r>
      <w:r>
        <w:rPr>
          <w:i/>
          <w:sz w:val="17"/>
          <w:szCs w:val="17"/>
          <w:lang w:val="en-US"/>
        </w:rPr>
        <w:t>Month</w:t>
      </w:r>
      <w:r w:rsidRPr="00AA799B">
        <w:rPr>
          <w:i/>
          <w:sz w:val="17"/>
          <w:szCs w:val="17"/>
          <w:lang w:val="en-US"/>
        </w:rPr>
        <w:t xml:space="preserve"> </w:t>
      </w:r>
      <w:r>
        <w:rPr>
          <w:i/>
          <w:sz w:val="17"/>
          <w:szCs w:val="17"/>
          <w:lang w:val="en-US"/>
        </w:rPr>
        <w:t>DD</w:t>
      </w:r>
      <w:r w:rsidRPr="00AA799B">
        <w:rPr>
          <w:i/>
          <w:sz w:val="17"/>
          <w:szCs w:val="17"/>
          <w:lang w:val="en-US"/>
        </w:rPr>
        <w:t xml:space="preserve">, </w:t>
      </w:r>
      <w:r>
        <w:rPr>
          <w:i/>
          <w:sz w:val="17"/>
          <w:szCs w:val="17"/>
          <w:lang w:val="en-US"/>
        </w:rPr>
        <w:t>YYYY</w:t>
      </w:r>
    </w:p>
    <w:p w:rsidR="00AA799B" w:rsidRPr="00AA799B" w:rsidRDefault="00AA799B" w:rsidP="00AA799B">
      <w:pPr>
        <w:spacing w:line="264" w:lineRule="auto"/>
        <w:ind w:firstLine="567"/>
        <w:jc w:val="both"/>
        <w:rPr>
          <w:sz w:val="17"/>
          <w:szCs w:val="17"/>
          <w:highlight w:val="yellow"/>
          <w:lang w:val="en-US"/>
        </w:rPr>
      </w:pPr>
    </w:p>
    <w:p w:rsidR="00AA799B" w:rsidRPr="00C93D39" w:rsidRDefault="00C93D39" w:rsidP="00AA799B">
      <w:pPr>
        <w:spacing w:line="264" w:lineRule="auto"/>
        <w:jc w:val="center"/>
        <w:rPr>
          <w:b/>
          <w:color w:val="FF0000"/>
          <w:szCs w:val="21"/>
          <w:lang w:val="en-US"/>
        </w:rPr>
      </w:pPr>
      <w:r w:rsidRPr="00C93D39">
        <w:rPr>
          <w:b/>
          <w:color w:val="FF0000"/>
          <w:szCs w:val="21"/>
          <w:lang w:val="en-US"/>
        </w:rPr>
        <w:t>THE NEXT PART IS FOR UKRAINIAN AUTHORS ONLY</w:t>
      </w:r>
    </w:p>
    <w:p w:rsidR="00AA799B" w:rsidRPr="00E60C9A" w:rsidRDefault="00AA799B" w:rsidP="00AA799B">
      <w:pPr>
        <w:spacing w:line="264" w:lineRule="auto"/>
        <w:jc w:val="both"/>
        <w:rPr>
          <w:sz w:val="19"/>
          <w:szCs w:val="19"/>
          <w:lang w:val="en-US"/>
        </w:rPr>
      </w:pPr>
    </w:p>
    <w:p w:rsidR="00AA799B" w:rsidRPr="00AA799B" w:rsidRDefault="00AA799B" w:rsidP="00AA799B">
      <w:pPr>
        <w:spacing w:line="264" w:lineRule="auto"/>
        <w:jc w:val="center"/>
        <w:rPr>
          <w:b/>
          <w:caps/>
          <w:sz w:val="19"/>
          <w:szCs w:val="19"/>
          <w:highlight w:val="yellow"/>
        </w:rPr>
      </w:pPr>
      <w:r w:rsidRPr="00AA799B">
        <w:rPr>
          <w:b/>
          <w:caps/>
          <w:sz w:val="19"/>
          <w:szCs w:val="19"/>
        </w:rPr>
        <w:t>Назва</w:t>
      </w:r>
      <w:r w:rsidR="00CF4568">
        <w:rPr>
          <w:b/>
          <w:caps/>
          <w:sz w:val="19"/>
          <w:szCs w:val="19"/>
        </w:rPr>
        <w:t xml:space="preserve"> статті українською мовою</w:t>
      </w:r>
    </w:p>
    <w:p w:rsidR="00AA799B" w:rsidRPr="00AA799B" w:rsidRDefault="00AA799B" w:rsidP="00AA799B">
      <w:pPr>
        <w:spacing w:line="264" w:lineRule="auto"/>
        <w:jc w:val="both"/>
        <w:rPr>
          <w:sz w:val="19"/>
          <w:szCs w:val="19"/>
          <w:highlight w:val="yellow"/>
        </w:rPr>
      </w:pPr>
    </w:p>
    <w:p w:rsidR="00AA799B" w:rsidRPr="003D060A" w:rsidRDefault="00AA799B" w:rsidP="006E49C5">
      <w:pPr>
        <w:spacing w:line="264" w:lineRule="auto"/>
        <w:ind w:firstLine="567"/>
        <w:jc w:val="both"/>
        <w:rPr>
          <w:sz w:val="19"/>
          <w:szCs w:val="19"/>
        </w:rPr>
      </w:pPr>
      <w:r w:rsidRPr="00AA799B">
        <w:rPr>
          <w:b/>
          <w:i/>
          <w:sz w:val="19"/>
          <w:szCs w:val="19"/>
        </w:rPr>
        <w:t>Анотація.</w:t>
      </w:r>
      <w:r w:rsidRPr="00AA799B">
        <w:rPr>
          <w:i/>
          <w:sz w:val="19"/>
          <w:szCs w:val="19"/>
        </w:rPr>
        <w:t xml:space="preserve"> </w:t>
      </w:r>
      <w:r w:rsidR="00CF4568">
        <w:rPr>
          <w:i/>
          <w:sz w:val="19"/>
          <w:szCs w:val="19"/>
        </w:rPr>
        <w:t xml:space="preserve">Анотація – це </w:t>
      </w:r>
      <w:r w:rsidR="00CF4568">
        <w:rPr>
          <w:i/>
          <w:sz w:val="19"/>
          <w:szCs w:val="19"/>
          <w:lang w:val="en-US"/>
        </w:rPr>
        <w:t>Abstract</w:t>
      </w:r>
      <w:r w:rsidR="00CF4568" w:rsidRPr="00CF4568">
        <w:rPr>
          <w:i/>
          <w:sz w:val="19"/>
          <w:szCs w:val="19"/>
        </w:rPr>
        <w:t xml:space="preserve">, </w:t>
      </w:r>
      <w:r w:rsidR="00CF4568">
        <w:rPr>
          <w:i/>
          <w:sz w:val="19"/>
          <w:szCs w:val="19"/>
        </w:rPr>
        <w:t xml:space="preserve">перекладений українською мовою. </w:t>
      </w:r>
      <w:r w:rsidRPr="00AA799B">
        <w:rPr>
          <w:i/>
          <w:sz w:val="19"/>
          <w:szCs w:val="19"/>
        </w:rPr>
        <w:t xml:space="preserve">Анотація повинна бути лаконічною, інформативною і містити не більше </w:t>
      </w:r>
      <w:r w:rsidR="003D060A">
        <w:rPr>
          <w:i/>
          <w:sz w:val="19"/>
          <w:szCs w:val="19"/>
        </w:rPr>
        <w:t>10</w:t>
      </w:r>
      <w:r w:rsidRPr="00AA799B">
        <w:rPr>
          <w:i/>
          <w:sz w:val="19"/>
          <w:szCs w:val="19"/>
        </w:rPr>
        <w:t>0 слів. Вона повинна коротко представляти саму суть роботи та її новизну. Одержані результати не потрібно конкретизувати в анотації, це</w:t>
      </w:r>
      <w:r>
        <w:rPr>
          <w:i/>
          <w:sz w:val="19"/>
          <w:szCs w:val="19"/>
        </w:rPr>
        <w:t xml:space="preserve"> потрібно вказувати у висновках</w:t>
      </w:r>
      <w:r w:rsidRPr="00AA799B">
        <w:rPr>
          <w:sz w:val="19"/>
          <w:szCs w:val="19"/>
        </w:rPr>
        <w:t>.</w:t>
      </w:r>
    </w:p>
    <w:p w:rsidR="006E49C5" w:rsidRPr="003D060A" w:rsidRDefault="006E49C5" w:rsidP="006E49C5">
      <w:pPr>
        <w:spacing w:line="264" w:lineRule="auto"/>
        <w:ind w:firstLine="567"/>
        <w:jc w:val="both"/>
        <w:rPr>
          <w:sz w:val="19"/>
          <w:szCs w:val="19"/>
        </w:rPr>
      </w:pPr>
    </w:p>
    <w:p w:rsidR="00AA799B" w:rsidRPr="00AA799B" w:rsidRDefault="00AA799B" w:rsidP="00AA799B">
      <w:pPr>
        <w:spacing w:line="264" w:lineRule="auto"/>
        <w:ind w:firstLine="567"/>
        <w:jc w:val="both"/>
        <w:rPr>
          <w:sz w:val="21"/>
          <w:szCs w:val="21"/>
        </w:rPr>
      </w:pPr>
      <w:r w:rsidRPr="00AA799B">
        <w:rPr>
          <w:b/>
          <w:i/>
          <w:sz w:val="19"/>
          <w:szCs w:val="19"/>
        </w:rPr>
        <w:t>Ключові слова:</w:t>
      </w:r>
      <w:r w:rsidRPr="00AA799B">
        <w:rPr>
          <w:i/>
          <w:sz w:val="19"/>
          <w:szCs w:val="19"/>
        </w:rPr>
        <w:t xml:space="preserve"> </w:t>
      </w:r>
      <w:r>
        <w:rPr>
          <w:i/>
          <w:sz w:val="19"/>
          <w:szCs w:val="19"/>
        </w:rPr>
        <w:t>слово</w:t>
      </w:r>
      <w:r w:rsidRPr="00AA799B">
        <w:rPr>
          <w:i/>
          <w:sz w:val="19"/>
          <w:szCs w:val="19"/>
        </w:rPr>
        <w:t xml:space="preserve"> 1</w:t>
      </w:r>
      <w:r>
        <w:rPr>
          <w:i/>
          <w:sz w:val="19"/>
          <w:szCs w:val="19"/>
        </w:rPr>
        <w:t>,</w:t>
      </w:r>
      <w:r w:rsidRPr="00AA799B">
        <w:rPr>
          <w:i/>
          <w:sz w:val="19"/>
          <w:szCs w:val="19"/>
        </w:rPr>
        <w:t xml:space="preserve"> </w:t>
      </w:r>
      <w:r>
        <w:rPr>
          <w:i/>
          <w:sz w:val="19"/>
          <w:szCs w:val="19"/>
        </w:rPr>
        <w:t>слово</w:t>
      </w:r>
      <w:r w:rsidRPr="00AA799B">
        <w:rPr>
          <w:i/>
          <w:sz w:val="19"/>
          <w:szCs w:val="19"/>
        </w:rPr>
        <w:t xml:space="preserve"> 2</w:t>
      </w:r>
      <w:r>
        <w:rPr>
          <w:i/>
          <w:sz w:val="19"/>
          <w:szCs w:val="19"/>
        </w:rPr>
        <w:t>,</w:t>
      </w:r>
      <w:r w:rsidRPr="00AA799B">
        <w:rPr>
          <w:i/>
          <w:sz w:val="19"/>
          <w:szCs w:val="19"/>
        </w:rPr>
        <w:t xml:space="preserve"> </w:t>
      </w:r>
      <w:r>
        <w:rPr>
          <w:i/>
          <w:sz w:val="19"/>
          <w:szCs w:val="19"/>
        </w:rPr>
        <w:t>слово</w:t>
      </w:r>
      <w:r w:rsidRPr="00AA799B">
        <w:rPr>
          <w:i/>
          <w:sz w:val="19"/>
          <w:szCs w:val="19"/>
        </w:rPr>
        <w:t xml:space="preserve"> 3 (</w:t>
      </w:r>
      <w:r w:rsidR="004567A3">
        <w:rPr>
          <w:i/>
          <w:sz w:val="19"/>
          <w:szCs w:val="19"/>
        </w:rPr>
        <w:t xml:space="preserve">це </w:t>
      </w:r>
      <w:r w:rsidR="004567A3">
        <w:rPr>
          <w:i/>
          <w:sz w:val="19"/>
          <w:szCs w:val="19"/>
          <w:lang w:val="en-US"/>
        </w:rPr>
        <w:t>Keywords</w:t>
      </w:r>
      <w:r w:rsidR="004567A3" w:rsidRPr="003D060A">
        <w:rPr>
          <w:i/>
          <w:sz w:val="19"/>
          <w:szCs w:val="19"/>
        </w:rPr>
        <w:t xml:space="preserve">, </w:t>
      </w:r>
      <w:r w:rsidR="004567A3">
        <w:rPr>
          <w:i/>
          <w:sz w:val="19"/>
          <w:szCs w:val="19"/>
        </w:rPr>
        <w:t xml:space="preserve">перекладені українською мовою; </w:t>
      </w:r>
      <w:r w:rsidRPr="00AA799B">
        <w:rPr>
          <w:i/>
          <w:sz w:val="19"/>
          <w:szCs w:val="19"/>
        </w:rPr>
        <w:t>не більше 5-6</w:t>
      </w:r>
      <w:r>
        <w:rPr>
          <w:i/>
          <w:sz w:val="19"/>
          <w:szCs w:val="19"/>
        </w:rPr>
        <w:t>,</w:t>
      </w:r>
      <w:r w:rsidRPr="00AA799B">
        <w:rPr>
          <w:i/>
          <w:sz w:val="19"/>
          <w:szCs w:val="19"/>
        </w:rPr>
        <w:t xml:space="preserve"> повинні відображати зміст всієї роботи і бути характерними для тієї галузі, </w:t>
      </w:r>
      <w:r>
        <w:rPr>
          <w:i/>
          <w:sz w:val="19"/>
          <w:szCs w:val="19"/>
        </w:rPr>
        <w:t>у</w:t>
      </w:r>
      <w:r w:rsidRPr="00AA799B">
        <w:rPr>
          <w:i/>
          <w:sz w:val="19"/>
          <w:szCs w:val="19"/>
        </w:rPr>
        <w:t xml:space="preserve"> якій представлена робота</w:t>
      </w:r>
      <w:r>
        <w:rPr>
          <w:i/>
          <w:sz w:val="19"/>
          <w:szCs w:val="19"/>
        </w:rPr>
        <w:t>;</w:t>
      </w:r>
      <w:r w:rsidRPr="00AA799B">
        <w:rPr>
          <w:i/>
          <w:sz w:val="19"/>
          <w:szCs w:val="19"/>
        </w:rPr>
        <w:t xml:space="preserve"> </w:t>
      </w:r>
      <w:r>
        <w:rPr>
          <w:i/>
          <w:sz w:val="19"/>
          <w:szCs w:val="19"/>
        </w:rPr>
        <w:t>у</w:t>
      </w:r>
      <w:r w:rsidRPr="00AA799B">
        <w:rPr>
          <w:i/>
          <w:sz w:val="19"/>
          <w:szCs w:val="19"/>
        </w:rPr>
        <w:t>никайте загальних термінів, множини і багатослівних виразів (напр., активований цинком каталізатор)</w:t>
      </w:r>
      <w:r>
        <w:rPr>
          <w:i/>
          <w:sz w:val="19"/>
          <w:szCs w:val="19"/>
        </w:rPr>
        <w:t>;</w:t>
      </w:r>
      <w:r w:rsidRPr="00AA799B">
        <w:rPr>
          <w:i/>
          <w:sz w:val="19"/>
          <w:szCs w:val="19"/>
        </w:rPr>
        <w:t xml:space="preserve"> </w:t>
      </w:r>
      <w:r>
        <w:rPr>
          <w:i/>
          <w:sz w:val="19"/>
          <w:szCs w:val="19"/>
        </w:rPr>
        <w:t>у</w:t>
      </w:r>
      <w:r w:rsidRPr="00AA799B">
        <w:rPr>
          <w:i/>
          <w:sz w:val="19"/>
          <w:szCs w:val="19"/>
        </w:rPr>
        <w:t>никайте скорочень</w:t>
      </w:r>
      <w:r>
        <w:rPr>
          <w:i/>
          <w:sz w:val="19"/>
          <w:szCs w:val="19"/>
        </w:rPr>
        <w:t>;</w:t>
      </w:r>
      <w:r w:rsidRPr="00AA799B">
        <w:rPr>
          <w:i/>
          <w:sz w:val="19"/>
          <w:szCs w:val="19"/>
        </w:rPr>
        <w:t xml:space="preserve"> </w:t>
      </w:r>
      <w:r>
        <w:rPr>
          <w:i/>
          <w:sz w:val="19"/>
          <w:szCs w:val="19"/>
        </w:rPr>
        <w:t>м</w:t>
      </w:r>
      <w:r w:rsidRPr="00AA799B">
        <w:rPr>
          <w:i/>
          <w:sz w:val="19"/>
          <w:szCs w:val="19"/>
        </w:rPr>
        <w:t>ожливі тільки ті скорочен</w:t>
      </w:r>
      <w:r>
        <w:rPr>
          <w:i/>
          <w:sz w:val="19"/>
          <w:szCs w:val="19"/>
        </w:rPr>
        <w:t>ня</w:t>
      </w:r>
      <w:r w:rsidRPr="00AA799B">
        <w:rPr>
          <w:i/>
          <w:sz w:val="19"/>
          <w:szCs w:val="19"/>
        </w:rPr>
        <w:t>, які є загальноприйнятими у даній галузі).</w:t>
      </w:r>
    </w:p>
    <w:sectPr w:rsidR="00AA799B" w:rsidRPr="00AA799B" w:rsidSect="007A468D">
      <w:footerReference w:type="default" r:id="rId10"/>
      <w:pgSz w:w="11906" w:h="16838"/>
      <w:pgMar w:top="1134" w:right="1247" w:bottom="164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0673" w:rsidRDefault="005C0673" w:rsidP="005E06E9">
      <w:r>
        <w:separator/>
      </w:r>
    </w:p>
  </w:endnote>
  <w:endnote w:type="continuationSeparator" w:id="0">
    <w:p w:rsidR="005C0673" w:rsidRDefault="005C0673" w:rsidP="005E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422314"/>
      <w:docPartObj>
        <w:docPartGallery w:val="Page Numbers (Bottom of Page)"/>
        <w:docPartUnique/>
      </w:docPartObj>
    </w:sdtPr>
    <w:sdtEndPr/>
    <w:sdtContent>
      <w:p w:rsidR="005E06E9" w:rsidRDefault="005E06E9">
        <w:pPr>
          <w:pStyle w:val="aa"/>
          <w:jc w:val="right"/>
        </w:pPr>
        <w:r>
          <w:fldChar w:fldCharType="begin"/>
        </w:r>
        <w:r>
          <w:instrText>PAGE   \* MERGEFORMAT</w:instrText>
        </w:r>
        <w:r>
          <w:fldChar w:fldCharType="separate"/>
        </w:r>
        <w:r w:rsidR="004567A3">
          <w:rPr>
            <w:noProof/>
          </w:rPr>
          <w:t>1</w:t>
        </w:r>
        <w:r>
          <w:fldChar w:fldCharType="end"/>
        </w:r>
      </w:p>
    </w:sdtContent>
  </w:sdt>
  <w:p w:rsidR="005E06E9" w:rsidRDefault="005E06E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0673" w:rsidRDefault="005C0673" w:rsidP="005E06E9">
      <w:r>
        <w:separator/>
      </w:r>
    </w:p>
  </w:footnote>
  <w:footnote w:type="continuationSeparator" w:id="0">
    <w:p w:rsidR="005C0673" w:rsidRDefault="005C0673" w:rsidP="005E0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A87"/>
    <w:rsid w:val="00011ACA"/>
    <w:rsid w:val="000C1CF8"/>
    <w:rsid w:val="000D2B9B"/>
    <w:rsid w:val="000E2CF6"/>
    <w:rsid w:val="001D731B"/>
    <w:rsid w:val="003D060A"/>
    <w:rsid w:val="004567A3"/>
    <w:rsid w:val="004602C6"/>
    <w:rsid w:val="005235BE"/>
    <w:rsid w:val="005C0673"/>
    <w:rsid w:val="005E06E9"/>
    <w:rsid w:val="006E49C5"/>
    <w:rsid w:val="007A468D"/>
    <w:rsid w:val="007A6009"/>
    <w:rsid w:val="0085524C"/>
    <w:rsid w:val="008C7A3F"/>
    <w:rsid w:val="00A05DFC"/>
    <w:rsid w:val="00A67F1F"/>
    <w:rsid w:val="00AA799B"/>
    <w:rsid w:val="00C93D39"/>
    <w:rsid w:val="00CA0E0D"/>
    <w:rsid w:val="00CF4568"/>
    <w:rsid w:val="00DE74A1"/>
    <w:rsid w:val="00E60C9A"/>
    <w:rsid w:val="00F17A87"/>
    <w:rsid w:val="00F41E88"/>
    <w:rsid w:val="00F914EF"/>
    <w:rsid w:val="00FE17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4568"/>
  <w15:docId w15:val="{A3C8571C-FEEB-45AB-87CB-967FA370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CF8"/>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17BB"/>
    <w:rPr>
      <w:rFonts w:ascii="Tahoma" w:hAnsi="Tahoma" w:cs="Tahoma"/>
      <w:sz w:val="16"/>
      <w:szCs w:val="16"/>
    </w:rPr>
  </w:style>
  <w:style w:type="character" w:customStyle="1" w:styleId="a4">
    <w:name w:val="Текст у виносці Знак"/>
    <w:basedOn w:val="a0"/>
    <w:link w:val="a3"/>
    <w:uiPriority w:val="99"/>
    <w:semiHidden/>
    <w:rsid w:val="00FE17BB"/>
    <w:rPr>
      <w:rFonts w:ascii="Tahoma" w:eastAsia="Times New Roman" w:hAnsi="Tahoma" w:cs="Tahoma"/>
      <w:sz w:val="16"/>
      <w:szCs w:val="16"/>
      <w:lang w:eastAsia="uk-UA"/>
    </w:rPr>
  </w:style>
  <w:style w:type="table" w:styleId="a5">
    <w:name w:val="Table Grid"/>
    <w:basedOn w:val="a1"/>
    <w:rsid w:val="00FE17B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E17BB"/>
    <w:pPr>
      <w:ind w:left="720"/>
      <w:contextualSpacing/>
    </w:pPr>
  </w:style>
  <w:style w:type="character" w:styleId="a7">
    <w:name w:val="Placeholder Text"/>
    <w:basedOn w:val="a0"/>
    <w:uiPriority w:val="99"/>
    <w:semiHidden/>
    <w:rsid w:val="007A6009"/>
    <w:rPr>
      <w:color w:val="808080"/>
    </w:rPr>
  </w:style>
  <w:style w:type="paragraph" w:styleId="a8">
    <w:name w:val="header"/>
    <w:basedOn w:val="a"/>
    <w:link w:val="a9"/>
    <w:uiPriority w:val="99"/>
    <w:unhideWhenUsed/>
    <w:rsid w:val="005E06E9"/>
    <w:pPr>
      <w:tabs>
        <w:tab w:val="center" w:pos="4819"/>
        <w:tab w:val="right" w:pos="9639"/>
      </w:tabs>
    </w:pPr>
  </w:style>
  <w:style w:type="character" w:customStyle="1" w:styleId="a9">
    <w:name w:val="Верхній колонтитул Знак"/>
    <w:basedOn w:val="a0"/>
    <w:link w:val="a8"/>
    <w:uiPriority w:val="99"/>
    <w:rsid w:val="005E06E9"/>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5E06E9"/>
    <w:pPr>
      <w:tabs>
        <w:tab w:val="center" w:pos="4819"/>
        <w:tab w:val="right" w:pos="9639"/>
      </w:tabs>
    </w:pPr>
  </w:style>
  <w:style w:type="character" w:customStyle="1" w:styleId="ab">
    <w:name w:val="Нижній колонтитул Знак"/>
    <w:basedOn w:val="a0"/>
    <w:link w:val="aa"/>
    <w:uiPriority w:val="99"/>
    <w:rsid w:val="005E06E9"/>
    <w:rPr>
      <w:rFonts w:ascii="Times New Roman" w:eastAsia="Times New Roman" w:hAnsi="Times New Roman" w:cs="Times New Roman"/>
      <w:sz w:val="24"/>
      <w:szCs w:val="24"/>
      <w:lang w:eastAsia="uk-UA"/>
    </w:rPr>
  </w:style>
  <w:style w:type="table" w:customStyle="1" w:styleId="1">
    <w:name w:val="Сітка таблиці1"/>
    <w:basedOn w:val="a1"/>
    <w:next w:val="a5"/>
    <w:uiPriority w:val="59"/>
    <w:rsid w:val="000D2B9B"/>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D2B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32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Mohammed_Belbachir?_sg%5B0%5D=ZKmdQwt-8uFTo4iZm4NWRICJ3K5u9Tpnz60g04k0Xfg4mGvnHs22GGhnZBcAkHb3J_sl8qk.qpegXzE-dUC6U4xOQrsbu0N4bfYxaTI5JeWn8oiqCiPSxbA2jLci7fGYWk0JK7FgJ_N-bFB9JcJ4AZVu7WOSEA&amp;_sg%5B1%5D=GImTe0ENvJLFt4M2E2J6AfP4WHARMBwfCrFT_y3peUi1i5uQXe_6kwgAJObfpiQAgYTVBpM.LRXmg0I3hd_hslE92czhgz-lJzeRNlLBs_Fiv9lGFkDPiKcOZHFk8Hq8lP9ixQrdUwm3hzT05_A7hpiMot4CQA" TargetMode="External"/><Relationship Id="rId3" Type="http://schemas.openxmlformats.org/officeDocument/2006/relationships/webSettings" Target="webSettings.xml"/><Relationship Id="rId7" Type="http://schemas.openxmlformats.org/officeDocument/2006/relationships/hyperlink" Target="https://www.researchgate.net/profile/Hodhaifa_Derdar?_sg%5B0%5D=ZKmdQwt-8uFTo4iZm4NWRICJ3K5u9Tpnz60g04k0Xfg4mGvnHs22GGhnZBcAkHb3J_sl8qk.qpegXzE-dUC6U4xOQrsbu0N4bfYxaTI5JeWn8oiqCiPSxbA2jLci7fGYWk0JK7FgJ_N-bFB9JcJ4AZVu7WOSEA&amp;_sg%5B1%5D=GImTe0ENvJLFt4M2E2J6AfP4WHARMBwfCrFT_y3peUi1i5uQXe_6kwgAJObfpiQAgYTVBpM.LRXmg0I3hd_hslE92czhgz-lJzeRNlLBs_Fiv9lGFkDPiKcOZHFk8Hq8lP9ixQrdUwm3hzT05_A7hpiMot4CQ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C:\Users\HOME\Downloads\Harrane%20%20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6745</Words>
  <Characters>3845</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Ananiy Kohut</dc:creator>
  <cp:lastModifiedBy>Пиш'єв Сергій Вікторович</cp:lastModifiedBy>
  <cp:revision>11</cp:revision>
  <dcterms:created xsi:type="dcterms:W3CDTF">2023-03-03T20:34:00Z</dcterms:created>
  <dcterms:modified xsi:type="dcterms:W3CDTF">2024-03-28T15:44:00Z</dcterms:modified>
</cp:coreProperties>
</file>